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single" w:sz="12" w:space="0" w:color="F79727"/>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62"/>
      </w:tblGrid>
      <w:tr w:rsidR="00EE2F13" w:rsidRPr="00C4026F" w:rsidTr="007C2E98">
        <w:tc>
          <w:tcPr>
            <w:tcW w:w="9062" w:type="dxa"/>
            <w:tcBorders>
              <w:bottom w:val="single" w:sz="6" w:space="0" w:color="F79727"/>
            </w:tcBorders>
            <w:vAlign w:val="center"/>
          </w:tcPr>
          <w:p w:rsidR="00FF02D4" w:rsidRPr="00C4026F" w:rsidRDefault="00FF02D4" w:rsidP="008575F6">
            <w:pPr>
              <w:rPr>
                <w:rFonts w:ascii="Palatino Linotype" w:hAnsi="Palatino Linotype" w:cs="Times New Roman"/>
                <w:sz w:val="28"/>
                <w:szCs w:val="28"/>
              </w:rPr>
            </w:pPr>
            <w:r w:rsidRPr="00C4026F">
              <w:rPr>
                <w:rFonts w:ascii="Palatino Linotype" w:hAnsi="Palatino Linotype" w:cs="Times New Roman"/>
                <w:sz w:val="28"/>
                <w:szCs w:val="28"/>
              </w:rPr>
              <w:t>Akademik Tükenmişlik ile Sınıf Değerlendirme Atmosferi Arasındaki İlişkinin İncelenmesi</w:t>
            </w:r>
          </w:p>
          <w:p w:rsidR="00EE2F13" w:rsidRPr="00C4026F" w:rsidRDefault="00EE2F13" w:rsidP="008575F6">
            <w:pPr>
              <w:jc w:val="both"/>
              <w:rPr>
                <w:rFonts w:ascii="Palatino Linotype" w:hAnsi="Palatino Linotype"/>
                <w:sz w:val="28"/>
              </w:rPr>
            </w:pPr>
          </w:p>
          <w:p w:rsidR="00EE2F13" w:rsidRPr="00C4026F" w:rsidRDefault="009E449B" w:rsidP="008575F6">
            <w:pPr>
              <w:jc w:val="both"/>
              <w:rPr>
                <w:rFonts w:ascii="Palatino Linotype" w:hAnsi="Palatino Linotype"/>
                <w:sz w:val="24"/>
              </w:rPr>
            </w:pPr>
            <w:r w:rsidRPr="00C4026F">
              <w:rPr>
                <w:rFonts w:ascii="Palatino Linotype" w:hAnsi="Palatino Linotype"/>
                <w:sz w:val="24"/>
              </w:rPr>
              <w:t>Mustafa İlhan</w:t>
            </w:r>
            <w:r w:rsidR="00802D15" w:rsidRPr="00C4026F">
              <w:rPr>
                <w:rFonts w:ascii="Palatino Linotype" w:hAnsi="Palatino Linotype"/>
                <w:sz w:val="24"/>
              </w:rPr>
              <w:t xml:space="preserve"> </w:t>
            </w:r>
            <w:r w:rsidR="00802D15" w:rsidRPr="00C4026F">
              <w:rPr>
                <w:rStyle w:val="DipnotBavurusu"/>
                <w:rFonts w:ascii="Palatino Linotype" w:hAnsi="Palatino Linotype"/>
                <w:sz w:val="24"/>
              </w:rPr>
              <w:footnoteReference w:id="2"/>
            </w:r>
            <w:r w:rsidR="00EE2F13" w:rsidRPr="00C4026F">
              <w:rPr>
                <w:rFonts w:ascii="Palatino Linotype" w:hAnsi="Palatino Linotype"/>
                <w:sz w:val="24"/>
              </w:rPr>
              <w:t xml:space="preserve">, </w:t>
            </w:r>
            <w:r w:rsidRPr="00C4026F">
              <w:rPr>
                <w:rFonts w:ascii="Palatino Linotype" w:hAnsi="Palatino Linotype"/>
                <w:sz w:val="24"/>
              </w:rPr>
              <w:t>Bayram Çetin</w:t>
            </w:r>
            <w:r w:rsidR="00802D15" w:rsidRPr="00C4026F">
              <w:rPr>
                <w:rFonts w:ascii="Palatino Linotype" w:hAnsi="Palatino Linotype"/>
                <w:sz w:val="24"/>
              </w:rPr>
              <w:t xml:space="preserve"> </w:t>
            </w:r>
            <w:r w:rsidR="00802D15" w:rsidRPr="00C4026F">
              <w:rPr>
                <w:rStyle w:val="DipnotBavurusu"/>
                <w:rFonts w:ascii="Palatino Linotype" w:hAnsi="Palatino Linotype"/>
                <w:sz w:val="24"/>
              </w:rPr>
              <w:footnoteReference w:id="3"/>
            </w:r>
          </w:p>
        </w:tc>
      </w:tr>
    </w:tbl>
    <w:p w:rsidR="00EE2F13" w:rsidRPr="00C4026F" w:rsidRDefault="00EE2F13" w:rsidP="008575F6">
      <w:pPr>
        <w:spacing w:after="0" w:line="240" w:lineRule="auto"/>
        <w:rPr>
          <w:rFonts w:ascii="Palatino Linotype" w:hAnsi="Palatino Linotype"/>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5868"/>
        <w:gridCol w:w="425"/>
        <w:gridCol w:w="2779"/>
      </w:tblGrid>
      <w:tr w:rsidR="00DF2E4F" w:rsidRPr="00C4026F" w:rsidTr="009C3798">
        <w:tc>
          <w:tcPr>
            <w:tcW w:w="5868" w:type="dxa"/>
            <w:tcBorders>
              <w:bottom w:val="single" w:sz="4" w:space="0" w:color="F79727"/>
            </w:tcBorders>
            <w:vAlign w:val="center"/>
          </w:tcPr>
          <w:p w:rsidR="00067694" w:rsidRPr="00C4026F" w:rsidRDefault="00067694" w:rsidP="008575F6">
            <w:pPr>
              <w:rPr>
                <w:rFonts w:ascii="Palatino Linotype" w:hAnsi="Palatino Linotype"/>
                <w:b/>
                <w:sz w:val="20"/>
                <w:szCs w:val="20"/>
              </w:rPr>
            </w:pPr>
            <w:r w:rsidRPr="00C4026F">
              <w:rPr>
                <w:rFonts w:ascii="Palatino Linotype" w:hAnsi="Palatino Linotype"/>
                <w:b/>
                <w:sz w:val="20"/>
                <w:szCs w:val="20"/>
              </w:rPr>
              <w:t>Öz</w:t>
            </w:r>
          </w:p>
        </w:tc>
        <w:tc>
          <w:tcPr>
            <w:tcW w:w="425" w:type="dxa"/>
            <w:vAlign w:val="center"/>
          </w:tcPr>
          <w:p w:rsidR="00067694" w:rsidRPr="00C4026F" w:rsidRDefault="00067694" w:rsidP="008575F6">
            <w:pPr>
              <w:rPr>
                <w:rFonts w:ascii="Palatino Linotype" w:hAnsi="Palatino Linotype"/>
                <w:sz w:val="20"/>
                <w:szCs w:val="20"/>
              </w:rPr>
            </w:pPr>
          </w:p>
        </w:tc>
        <w:tc>
          <w:tcPr>
            <w:tcW w:w="2779" w:type="dxa"/>
            <w:tcBorders>
              <w:bottom w:val="single" w:sz="4" w:space="0" w:color="F79727"/>
            </w:tcBorders>
            <w:vAlign w:val="center"/>
          </w:tcPr>
          <w:p w:rsidR="00067694" w:rsidRPr="00C4026F" w:rsidRDefault="00067694" w:rsidP="008575F6">
            <w:pPr>
              <w:jc w:val="right"/>
              <w:rPr>
                <w:rFonts w:ascii="Palatino Linotype" w:hAnsi="Palatino Linotype"/>
                <w:b/>
                <w:sz w:val="20"/>
                <w:szCs w:val="20"/>
              </w:rPr>
            </w:pPr>
            <w:r w:rsidRPr="00C4026F">
              <w:rPr>
                <w:rFonts w:ascii="Palatino Linotype" w:hAnsi="Palatino Linotype"/>
                <w:b/>
                <w:sz w:val="20"/>
                <w:szCs w:val="20"/>
              </w:rPr>
              <w:t>Anahtar Kelimeler</w:t>
            </w:r>
          </w:p>
        </w:tc>
      </w:tr>
      <w:tr w:rsidR="0063599A" w:rsidRPr="00C4026F" w:rsidTr="000E7799">
        <w:tc>
          <w:tcPr>
            <w:tcW w:w="5868" w:type="dxa"/>
            <w:vMerge w:val="restart"/>
            <w:tcBorders>
              <w:top w:val="single" w:sz="4" w:space="0" w:color="F79727"/>
            </w:tcBorders>
          </w:tcPr>
          <w:p w:rsidR="0063599A" w:rsidRPr="00C4026F" w:rsidRDefault="0063599A" w:rsidP="00926E37">
            <w:pPr>
              <w:spacing w:before="60" w:after="60"/>
              <w:jc w:val="both"/>
              <w:rPr>
                <w:rFonts w:ascii="Palatino Linotype" w:hAnsi="Palatino Linotype" w:cs="Times New Roman"/>
                <w:sz w:val="20"/>
                <w:szCs w:val="20"/>
              </w:rPr>
            </w:pPr>
            <w:r w:rsidRPr="00C4026F">
              <w:rPr>
                <w:rFonts w:ascii="Palatino Linotype" w:hAnsi="Palatino Linotype" w:cs="Times New Roman"/>
                <w:sz w:val="20"/>
                <w:szCs w:val="20"/>
              </w:rPr>
              <w:t xml:space="preserve">Bu araştırmada, akademik tükenmişlik ile sınıf değerlendirme atmosferi arasındaki ilişkinin incelenmesi amaçlanmıştır. Araştırmada nedensel karşılaştırma modeli kullanılmıştır. Araştırma, 2013-2014 Eğitim Öğretim Yılı Bahar Dönemi’nde Batman ve Diyarbakır illerinden toplam 496 lise öğrencisi üzerinde yürütülmüştür. Araştırmada öğrencilerin akademik tükenmişlik düzeylerini ölçmek için </w:t>
            </w:r>
            <w:proofErr w:type="spellStart"/>
            <w:r w:rsidRPr="00C4026F">
              <w:rPr>
                <w:rFonts w:ascii="Palatino Linotype" w:hAnsi="Palatino Linotype" w:cs="Times New Roman"/>
                <w:sz w:val="20"/>
                <w:szCs w:val="20"/>
              </w:rPr>
              <w:t>Schaufeli</w:t>
            </w:r>
            <w:proofErr w:type="spellEnd"/>
            <w:r w:rsidRPr="00C4026F">
              <w:rPr>
                <w:rFonts w:ascii="Palatino Linotype" w:hAnsi="Palatino Linotype" w:cs="Times New Roman"/>
                <w:sz w:val="20"/>
                <w:szCs w:val="20"/>
              </w:rPr>
              <w:t xml:space="preserve"> vd. (2002) tarafından geliştirilen, </w:t>
            </w:r>
            <w:proofErr w:type="spellStart"/>
            <w:r w:rsidRPr="00C4026F">
              <w:rPr>
                <w:rFonts w:ascii="Palatino Linotype" w:hAnsi="Palatino Linotype" w:cs="Times New Roman"/>
                <w:sz w:val="20"/>
                <w:szCs w:val="20"/>
              </w:rPr>
              <w:t>Çapri</w:t>
            </w:r>
            <w:proofErr w:type="spellEnd"/>
            <w:r w:rsidRPr="00C4026F">
              <w:rPr>
                <w:rFonts w:ascii="Palatino Linotype" w:hAnsi="Palatino Linotype" w:cs="Times New Roman"/>
                <w:sz w:val="20"/>
                <w:szCs w:val="20"/>
              </w:rPr>
              <w:t xml:space="preserve">, Gündüz ve </w:t>
            </w:r>
            <w:proofErr w:type="spellStart"/>
            <w:r w:rsidRPr="00C4026F">
              <w:rPr>
                <w:rFonts w:ascii="Palatino Linotype" w:hAnsi="Palatino Linotype" w:cs="Times New Roman"/>
                <w:sz w:val="20"/>
                <w:szCs w:val="20"/>
              </w:rPr>
              <w:t>Gökçakan</w:t>
            </w:r>
            <w:proofErr w:type="spellEnd"/>
            <w:r w:rsidRPr="00C4026F">
              <w:rPr>
                <w:rFonts w:ascii="Palatino Linotype" w:hAnsi="Palatino Linotype" w:cs="Times New Roman"/>
                <w:sz w:val="20"/>
                <w:szCs w:val="20"/>
              </w:rPr>
              <w:t xml:space="preserve"> (2011) tarafından </w:t>
            </w:r>
            <w:proofErr w:type="spellStart"/>
            <w:r w:rsidRPr="00C4026F">
              <w:rPr>
                <w:rFonts w:ascii="Palatino Linotype" w:hAnsi="Palatino Linotype" w:cs="Times New Roman"/>
                <w:sz w:val="20"/>
                <w:szCs w:val="20"/>
              </w:rPr>
              <w:t>Türkçe’ye</w:t>
            </w:r>
            <w:proofErr w:type="spellEnd"/>
            <w:r w:rsidRPr="00C4026F">
              <w:rPr>
                <w:rFonts w:ascii="Palatino Linotype" w:hAnsi="Palatino Linotype" w:cs="Times New Roman"/>
                <w:sz w:val="20"/>
                <w:szCs w:val="20"/>
              </w:rPr>
              <w:t xml:space="preserve"> uyarlanan </w:t>
            </w:r>
            <w:proofErr w:type="spellStart"/>
            <w:r w:rsidRPr="00C4026F">
              <w:rPr>
                <w:rFonts w:ascii="Palatino Linotype" w:hAnsi="Palatino Linotype" w:cs="Times New Roman"/>
                <w:sz w:val="20"/>
                <w:szCs w:val="20"/>
              </w:rPr>
              <w:t>Maslach</w:t>
            </w:r>
            <w:proofErr w:type="spellEnd"/>
            <w:r w:rsidRPr="00C4026F">
              <w:rPr>
                <w:rFonts w:ascii="Palatino Linotype" w:hAnsi="Palatino Linotype" w:cs="Times New Roman"/>
                <w:sz w:val="20"/>
                <w:szCs w:val="20"/>
              </w:rPr>
              <w:t xml:space="preserve"> Tükenmişlik Envanteri-Öğrenci Formu kullanılmıştır. Öğrencilerin sınıf değerlendirme atmosferine yönelik algılarının belirlenmesinde ise araştırmacılar tarafından geliştirilen Sınıf Değerlendirme Atmosferi Ölçeği’nden yararlanılmıştır. Araştırmada sınıf değerlendirme atmosferine yönelik benzer algılara sahip olan öğrencileri gruplandırmak için kümeleme analizi uygulanmıştır. Analiz sonucunda, öğrencilerin sınıf değerlendirme atmosferine yönelik algıları açısından 3 farklı kümeye dağıldığı belirlenmiştir. Ardından, öğrencilerin akademik tükenmişlik düzeylerinin kümeleme analizi sonucunda oluşan gruplara göre farklılık gösterip göstermediği ANOVA ile test edilmiştir. Elde edilen bulgular; öğrencilerin akademik tükenmişlik düzeylerinin sınıf değerlendirme atmosferine yönelik algılarına göre farklılaştığını göstermiştir. Bu sonuca göre, öğrencilerin sınıf değerlendirme atmosferine yönelik algılarının akademik tükenmişlik düzeyleri üzerinde etkili bir değişken olduğu söylenebilir. </w:t>
            </w:r>
          </w:p>
        </w:tc>
        <w:tc>
          <w:tcPr>
            <w:tcW w:w="425" w:type="dxa"/>
            <w:vAlign w:val="center"/>
          </w:tcPr>
          <w:p w:rsidR="0063599A" w:rsidRPr="00C4026F" w:rsidRDefault="0063599A" w:rsidP="008575F6">
            <w:pPr>
              <w:rPr>
                <w:rFonts w:ascii="Palatino Linotype" w:hAnsi="Palatino Linotype"/>
                <w:sz w:val="20"/>
                <w:szCs w:val="20"/>
              </w:rPr>
            </w:pPr>
          </w:p>
        </w:tc>
        <w:tc>
          <w:tcPr>
            <w:tcW w:w="2779" w:type="dxa"/>
            <w:tcBorders>
              <w:top w:val="single" w:sz="4" w:space="0" w:color="F79727"/>
            </w:tcBorders>
            <w:vAlign w:val="center"/>
          </w:tcPr>
          <w:p w:rsidR="0063599A" w:rsidRPr="00C4026F" w:rsidRDefault="0063599A" w:rsidP="008575F6">
            <w:pPr>
              <w:spacing w:before="60" w:after="60"/>
              <w:jc w:val="right"/>
              <w:rPr>
                <w:rFonts w:ascii="Palatino Linotype" w:hAnsi="Palatino Linotype"/>
                <w:sz w:val="18"/>
                <w:szCs w:val="18"/>
              </w:rPr>
            </w:pPr>
            <w:r w:rsidRPr="00C4026F">
              <w:rPr>
                <w:rFonts w:ascii="Palatino Linotype" w:hAnsi="Palatino Linotype"/>
                <w:sz w:val="18"/>
                <w:szCs w:val="18"/>
              </w:rPr>
              <w:t>Akademik tükenmişlik</w:t>
            </w:r>
          </w:p>
          <w:p w:rsidR="0063599A" w:rsidRPr="00C4026F" w:rsidRDefault="0063599A" w:rsidP="008575F6">
            <w:pPr>
              <w:spacing w:before="60" w:after="60"/>
              <w:jc w:val="right"/>
              <w:rPr>
                <w:rFonts w:ascii="Palatino Linotype" w:hAnsi="Palatino Linotype"/>
                <w:sz w:val="18"/>
                <w:szCs w:val="18"/>
              </w:rPr>
            </w:pPr>
            <w:r w:rsidRPr="00C4026F">
              <w:rPr>
                <w:rFonts w:ascii="Palatino Linotype" w:hAnsi="Palatino Linotype"/>
                <w:sz w:val="18"/>
                <w:szCs w:val="18"/>
              </w:rPr>
              <w:t>Sınıf değerlendirme atmosferi</w:t>
            </w:r>
          </w:p>
          <w:p w:rsidR="0063599A" w:rsidRPr="00C4026F" w:rsidRDefault="0063599A" w:rsidP="008575F6">
            <w:pPr>
              <w:spacing w:before="60" w:after="60"/>
              <w:jc w:val="right"/>
              <w:rPr>
                <w:rFonts w:ascii="Palatino Linotype" w:hAnsi="Palatino Linotype"/>
                <w:sz w:val="18"/>
                <w:szCs w:val="18"/>
              </w:rPr>
            </w:pPr>
            <w:r w:rsidRPr="00C4026F">
              <w:rPr>
                <w:rFonts w:ascii="Palatino Linotype" w:hAnsi="Palatino Linotype"/>
                <w:sz w:val="18"/>
                <w:szCs w:val="18"/>
              </w:rPr>
              <w:t>Kümeleme analizi</w:t>
            </w:r>
          </w:p>
        </w:tc>
      </w:tr>
      <w:tr w:rsidR="0063599A" w:rsidRPr="00C4026F" w:rsidTr="000E7799">
        <w:tc>
          <w:tcPr>
            <w:tcW w:w="5868" w:type="dxa"/>
            <w:vMerge/>
            <w:vAlign w:val="center"/>
          </w:tcPr>
          <w:p w:rsidR="0063599A" w:rsidRPr="00C4026F" w:rsidRDefault="0063599A" w:rsidP="008575F6">
            <w:pPr>
              <w:rPr>
                <w:rFonts w:ascii="Palatino Linotype" w:hAnsi="Palatino Linotype"/>
                <w:sz w:val="20"/>
                <w:szCs w:val="20"/>
              </w:rPr>
            </w:pPr>
          </w:p>
        </w:tc>
        <w:tc>
          <w:tcPr>
            <w:tcW w:w="425" w:type="dxa"/>
            <w:vAlign w:val="center"/>
          </w:tcPr>
          <w:p w:rsidR="0063599A" w:rsidRPr="00C4026F" w:rsidRDefault="0063599A" w:rsidP="008575F6">
            <w:pPr>
              <w:rPr>
                <w:rFonts w:ascii="Palatino Linotype" w:hAnsi="Palatino Linotype"/>
                <w:sz w:val="20"/>
                <w:szCs w:val="20"/>
              </w:rPr>
            </w:pPr>
          </w:p>
        </w:tc>
        <w:tc>
          <w:tcPr>
            <w:tcW w:w="2779" w:type="dxa"/>
            <w:tcBorders>
              <w:bottom w:val="single" w:sz="4" w:space="0" w:color="F79727"/>
            </w:tcBorders>
            <w:vAlign w:val="center"/>
          </w:tcPr>
          <w:p w:rsidR="0063599A" w:rsidRPr="00C4026F" w:rsidRDefault="0063599A" w:rsidP="008575F6">
            <w:pPr>
              <w:spacing w:before="60"/>
              <w:jc w:val="right"/>
              <w:rPr>
                <w:rFonts w:ascii="Palatino Linotype" w:hAnsi="Palatino Linotype"/>
                <w:b/>
                <w:sz w:val="20"/>
                <w:szCs w:val="20"/>
              </w:rPr>
            </w:pPr>
            <w:r w:rsidRPr="00C4026F">
              <w:rPr>
                <w:rFonts w:ascii="Palatino Linotype" w:hAnsi="Palatino Linotype"/>
                <w:b/>
                <w:sz w:val="20"/>
                <w:szCs w:val="20"/>
              </w:rPr>
              <w:t>Makale Hakkında</w:t>
            </w:r>
          </w:p>
        </w:tc>
      </w:tr>
      <w:tr w:rsidR="0063599A" w:rsidRPr="00C4026F" w:rsidTr="00C9032C">
        <w:trPr>
          <w:trHeight w:val="1830"/>
        </w:trPr>
        <w:tc>
          <w:tcPr>
            <w:tcW w:w="5868" w:type="dxa"/>
            <w:vMerge/>
            <w:vAlign w:val="center"/>
          </w:tcPr>
          <w:p w:rsidR="0063599A" w:rsidRPr="00C4026F" w:rsidRDefault="0063599A" w:rsidP="008575F6">
            <w:pPr>
              <w:rPr>
                <w:rFonts w:ascii="Palatino Linotype" w:hAnsi="Palatino Linotype"/>
                <w:sz w:val="20"/>
                <w:szCs w:val="20"/>
              </w:rPr>
            </w:pPr>
          </w:p>
        </w:tc>
        <w:tc>
          <w:tcPr>
            <w:tcW w:w="425" w:type="dxa"/>
            <w:vMerge w:val="restart"/>
            <w:vAlign w:val="center"/>
          </w:tcPr>
          <w:p w:rsidR="0063599A" w:rsidRPr="00C4026F" w:rsidRDefault="0063599A" w:rsidP="008575F6">
            <w:pPr>
              <w:rPr>
                <w:rFonts w:ascii="Palatino Linotype" w:hAnsi="Palatino Linotype"/>
                <w:sz w:val="20"/>
                <w:szCs w:val="20"/>
              </w:rPr>
            </w:pPr>
          </w:p>
        </w:tc>
        <w:tc>
          <w:tcPr>
            <w:tcW w:w="2779" w:type="dxa"/>
            <w:tcBorders>
              <w:top w:val="single" w:sz="4" w:space="0" w:color="F79727"/>
            </w:tcBorders>
          </w:tcPr>
          <w:p w:rsidR="0063599A" w:rsidRPr="00C4026F" w:rsidRDefault="0063599A" w:rsidP="008575F6">
            <w:pPr>
              <w:spacing w:before="60"/>
              <w:jc w:val="right"/>
              <w:rPr>
                <w:rFonts w:ascii="Palatino Linotype" w:hAnsi="Palatino Linotype"/>
                <w:sz w:val="18"/>
                <w:szCs w:val="18"/>
              </w:rPr>
            </w:pPr>
            <w:r w:rsidRPr="00C4026F">
              <w:rPr>
                <w:rFonts w:ascii="Palatino Linotype" w:hAnsi="Palatino Linotype"/>
                <w:sz w:val="18"/>
                <w:szCs w:val="18"/>
              </w:rPr>
              <w:t xml:space="preserve">Gönderim Tarihi: </w:t>
            </w:r>
            <w:r w:rsidR="00975174">
              <w:rPr>
                <w:rFonts w:ascii="Palatino Linotype" w:hAnsi="Palatino Linotype"/>
                <w:sz w:val="18"/>
                <w:szCs w:val="18"/>
              </w:rPr>
              <w:t>05</w:t>
            </w:r>
            <w:r w:rsidRPr="00C4026F">
              <w:rPr>
                <w:rFonts w:ascii="Palatino Linotype" w:hAnsi="Palatino Linotype"/>
                <w:sz w:val="18"/>
                <w:szCs w:val="18"/>
              </w:rPr>
              <w:t>.</w:t>
            </w:r>
            <w:r w:rsidR="00975174">
              <w:rPr>
                <w:rFonts w:ascii="Palatino Linotype" w:hAnsi="Palatino Linotype"/>
                <w:sz w:val="18"/>
                <w:szCs w:val="18"/>
              </w:rPr>
              <w:t>06</w:t>
            </w:r>
            <w:r w:rsidRPr="00C4026F">
              <w:rPr>
                <w:rFonts w:ascii="Palatino Linotype" w:hAnsi="Palatino Linotype"/>
                <w:sz w:val="18"/>
                <w:szCs w:val="18"/>
              </w:rPr>
              <w:t>.2014</w:t>
            </w:r>
          </w:p>
          <w:p w:rsidR="0063599A" w:rsidRPr="00C4026F" w:rsidRDefault="00975174" w:rsidP="008575F6">
            <w:pPr>
              <w:spacing w:before="60"/>
              <w:jc w:val="right"/>
              <w:rPr>
                <w:rFonts w:ascii="Palatino Linotype" w:hAnsi="Palatino Linotype"/>
                <w:sz w:val="18"/>
                <w:szCs w:val="18"/>
              </w:rPr>
            </w:pPr>
            <w:r>
              <w:rPr>
                <w:rFonts w:ascii="Palatino Linotype" w:hAnsi="Palatino Linotype"/>
                <w:sz w:val="18"/>
                <w:szCs w:val="18"/>
              </w:rPr>
              <w:t>Kabul Tarihi: 01.12</w:t>
            </w:r>
            <w:r w:rsidR="0063599A" w:rsidRPr="00C4026F">
              <w:rPr>
                <w:rFonts w:ascii="Palatino Linotype" w:hAnsi="Palatino Linotype"/>
                <w:sz w:val="18"/>
                <w:szCs w:val="18"/>
              </w:rPr>
              <w:t>.2014</w:t>
            </w:r>
          </w:p>
          <w:p w:rsidR="0063599A" w:rsidRPr="00C4026F" w:rsidRDefault="0063599A" w:rsidP="008575F6">
            <w:pPr>
              <w:spacing w:before="60" w:after="60"/>
              <w:jc w:val="right"/>
              <w:rPr>
                <w:rFonts w:ascii="Palatino Linotype" w:hAnsi="Palatino Linotype"/>
                <w:sz w:val="18"/>
                <w:szCs w:val="18"/>
              </w:rPr>
            </w:pPr>
            <w:r w:rsidRPr="00C4026F">
              <w:rPr>
                <w:rFonts w:ascii="Palatino Linotype" w:hAnsi="Palatino Linotype"/>
                <w:sz w:val="18"/>
                <w:szCs w:val="18"/>
              </w:rPr>
              <w:t xml:space="preserve">Elektronik Yayın Tarihi: </w:t>
            </w:r>
            <w:r w:rsidR="00975174">
              <w:rPr>
                <w:rFonts w:ascii="Palatino Linotype" w:hAnsi="Palatino Linotype"/>
                <w:sz w:val="18"/>
                <w:szCs w:val="18"/>
              </w:rPr>
              <w:t>16</w:t>
            </w:r>
            <w:r w:rsidRPr="00C4026F">
              <w:rPr>
                <w:rFonts w:ascii="Palatino Linotype" w:hAnsi="Palatino Linotype"/>
                <w:sz w:val="18"/>
                <w:szCs w:val="18"/>
              </w:rPr>
              <w:t>.</w:t>
            </w:r>
            <w:r w:rsidR="00975174">
              <w:rPr>
                <w:rFonts w:ascii="Palatino Linotype" w:hAnsi="Palatino Linotype"/>
                <w:sz w:val="18"/>
                <w:szCs w:val="18"/>
              </w:rPr>
              <w:t>12</w:t>
            </w:r>
            <w:r w:rsidRPr="00C4026F">
              <w:rPr>
                <w:rFonts w:ascii="Palatino Linotype" w:hAnsi="Palatino Linotype"/>
                <w:sz w:val="18"/>
                <w:szCs w:val="18"/>
              </w:rPr>
              <w:t>.2014</w:t>
            </w:r>
          </w:p>
          <w:p w:rsidR="0063599A" w:rsidRPr="00C4026F" w:rsidRDefault="0063599A" w:rsidP="008575F6">
            <w:pPr>
              <w:spacing w:before="60" w:after="60"/>
              <w:rPr>
                <w:rFonts w:ascii="Palatino Linotype" w:hAnsi="Palatino Linotype"/>
                <w:sz w:val="18"/>
                <w:szCs w:val="18"/>
              </w:rPr>
            </w:pPr>
          </w:p>
        </w:tc>
      </w:tr>
      <w:tr w:rsidR="0063599A" w:rsidRPr="00C4026F" w:rsidTr="00C9032C">
        <w:trPr>
          <w:trHeight w:val="1830"/>
        </w:trPr>
        <w:tc>
          <w:tcPr>
            <w:tcW w:w="5868" w:type="dxa"/>
            <w:vMerge/>
            <w:tcBorders>
              <w:bottom w:val="single" w:sz="4" w:space="0" w:color="F79727"/>
            </w:tcBorders>
            <w:vAlign w:val="center"/>
          </w:tcPr>
          <w:p w:rsidR="0063599A" w:rsidRPr="00C4026F" w:rsidRDefault="0063599A" w:rsidP="008575F6">
            <w:pPr>
              <w:rPr>
                <w:rFonts w:ascii="Palatino Linotype" w:hAnsi="Palatino Linotype"/>
                <w:sz w:val="20"/>
                <w:szCs w:val="20"/>
              </w:rPr>
            </w:pPr>
          </w:p>
        </w:tc>
        <w:tc>
          <w:tcPr>
            <w:tcW w:w="425" w:type="dxa"/>
            <w:vMerge/>
            <w:tcBorders>
              <w:bottom w:val="single" w:sz="4" w:space="0" w:color="F79727"/>
            </w:tcBorders>
            <w:vAlign w:val="center"/>
          </w:tcPr>
          <w:p w:rsidR="0063599A" w:rsidRPr="00C4026F" w:rsidRDefault="0063599A" w:rsidP="008575F6">
            <w:pPr>
              <w:rPr>
                <w:rFonts w:ascii="Palatino Linotype" w:hAnsi="Palatino Linotype"/>
                <w:sz w:val="20"/>
                <w:szCs w:val="20"/>
              </w:rPr>
            </w:pPr>
          </w:p>
        </w:tc>
        <w:tc>
          <w:tcPr>
            <w:tcW w:w="2779" w:type="dxa"/>
            <w:tcBorders>
              <w:bottom w:val="single" w:sz="4" w:space="0" w:color="F79727"/>
            </w:tcBorders>
            <w:vAlign w:val="bottom"/>
          </w:tcPr>
          <w:p w:rsidR="0063599A" w:rsidRPr="00C4026F" w:rsidRDefault="0063599A" w:rsidP="008575F6">
            <w:pPr>
              <w:spacing w:before="60" w:after="60"/>
              <w:jc w:val="right"/>
              <w:rPr>
                <w:rFonts w:ascii="Palatino Linotype" w:hAnsi="Palatino Linotype"/>
                <w:sz w:val="18"/>
                <w:szCs w:val="18"/>
              </w:rPr>
            </w:pPr>
            <w:r w:rsidRPr="00C4026F">
              <w:rPr>
                <w:rFonts w:ascii="Palatino Linotype" w:hAnsi="Palatino Linotype"/>
                <w:sz w:val="18"/>
                <w:szCs w:val="18"/>
              </w:rPr>
              <w:t xml:space="preserve">DOI: </w:t>
            </w:r>
            <w:proofErr w:type="gramStart"/>
            <w:r w:rsidRPr="00C4026F">
              <w:rPr>
                <w:rFonts w:ascii="Palatino Linotype" w:hAnsi="Palatino Linotype"/>
                <w:sz w:val="18"/>
                <w:szCs w:val="18"/>
              </w:rPr>
              <w:t>10.15390</w:t>
            </w:r>
            <w:proofErr w:type="gramEnd"/>
            <w:r w:rsidRPr="00C4026F">
              <w:rPr>
                <w:rFonts w:ascii="Palatino Linotype" w:hAnsi="Palatino Linotype"/>
                <w:sz w:val="18"/>
                <w:szCs w:val="18"/>
              </w:rPr>
              <w:t>/EB.2014.3335</w:t>
            </w:r>
          </w:p>
        </w:tc>
      </w:tr>
    </w:tbl>
    <w:p w:rsidR="00067694" w:rsidRPr="00C4026F" w:rsidRDefault="005E6912" w:rsidP="008575F6">
      <w:pPr>
        <w:spacing w:before="120" w:after="120" w:line="240" w:lineRule="auto"/>
        <w:jc w:val="center"/>
        <w:rPr>
          <w:rFonts w:ascii="Palatino Linotype" w:hAnsi="Palatino Linotype"/>
          <w:b/>
        </w:rPr>
      </w:pPr>
      <w:r w:rsidRPr="00C4026F">
        <w:rPr>
          <w:rFonts w:ascii="Palatino Linotype" w:hAnsi="Palatino Linotype"/>
          <w:b/>
        </w:rPr>
        <w:t>Giriş</w:t>
      </w:r>
    </w:p>
    <w:p w:rsidR="009E449B" w:rsidRPr="00C4026F" w:rsidRDefault="009E449B" w:rsidP="008575F6">
      <w:pPr>
        <w:spacing w:after="0" w:line="240" w:lineRule="auto"/>
        <w:ind w:firstLine="709"/>
        <w:jc w:val="both"/>
        <w:rPr>
          <w:rFonts w:ascii="Palatino Linotype" w:hAnsi="Palatino Linotype"/>
          <w:b/>
          <w:i/>
          <w:sz w:val="20"/>
          <w:szCs w:val="20"/>
        </w:rPr>
      </w:pPr>
      <w:r w:rsidRPr="00C4026F">
        <w:rPr>
          <w:rFonts w:ascii="Palatino Linotype" w:hAnsi="Palatino Linotype"/>
          <w:b/>
          <w:i/>
          <w:sz w:val="20"/>
          <w:szCs w:val="20"/>
        </w:rPr>
        <w:t>Tükenmişlik Kavramı</w:t>
      </w:r>
    </w:p>
    <w:p w:rsidR="009E449B" w:rsidRPr="00C4026F" w:rsidRDefault="009E449B" w:rsidP="008575F6">
      <w:pPr>
        <w:spacing w:after="120" w:line="240" w:lineRule="auto"/>
        <w:ind w:firstLine="708"/>
        <w:jc w:val="both"/>
        <w:rPr>
          <w:rFonts w:ascii="Palatino Linotype" w:hAnsi="Palatino Linotype"/>
          <w:sz w:val="20"/>
          <w:szCs w:val="20"/>
        </w:rPr>
      </w:pPr>
      <w:r w:rsidRPr="00C4026F">
        <w:rPr>
          <w:rFonts w:ascii="Palatino Linotype" w:hAnsi="Palatino Linotype"/>
          <w:sz w:val="20"/>
          <w:szCs w:val="20"/>
        </w:rPr>
        <w:t>Modern zamanların en önemli sorunlarından biri olan tükenmişlik (</w:t>
      </w:r>
      <w:proofErr w:type="spellStart"/>
      <w:r w:rsidRPr="00C4026F">
        <w:rPr>
          <w:rFonts w:ascii="Palatino Linotype" w:hAnsi="Palatino Linotype"/>
          <w:sz w:val="20"/>
          <w:szCs w:val="20"/>
        </w:rPr>
        <w:t>Çapulcuoğlu</w:t>
      </w:r>
      <w:proofErr w:type="spellEnd"/>
      <w:r w:rsidRPr="00C4026F">
        <w:rPr>
          <w:rFonts w:ascii="Palatino Linotype" w:hAnsi="Palatino Linotype"/>
          <w:sz w:val="20"/>
          <w:szCs w:val="20"/>
        </w:rPr>
        <w:t xml:space="preserve"> ve Gündüz), 1970’li yıllarda </w:t>
      </w:r>
      <w:proofErr w:type="spellStart"/>
      <w:r w:rsidRPr="00C4026F">
        <w:rPr>
          <w:rFonts w:ascii="Palatino Linotype" w:hAnsi="Palatino Linotype"/>
          <w:sz w:val="20"/>
          <w:szCs w:val="20"/>
        </w:rPr>
        <w:t>Freudenberger</w:t>
      </w:r>
      <w:proofErr w:type="spellEnd"/>
      <w:r w:rsidRPr="00C4026F">
        <w:rPr>
          <w:rFonts w:ascii="Palatino Linotype" w:hAnsi="Palatino Linotype"/>
          <w:sz w:val="20"/>
          <w:szCs w:val="20"/>
        </w:rPr>
        <w:t xml:space="preserve"> tarafından ileri sürülmüştür. </w:t>
      </w:r>
      <w:proofErr w:type="spellStart"/>
      <w:r w:rsidRPr="00C4026F">
        <w:rPr>
          <w:rFonts w:ascii="Palatino Linotype" w:hAnsi="Palatino Linotype"/>
          <w:sz w:val="20"/>
          <w:szCs w:val="20"/>
        </w:rPr>
        <w:t>Freudenberger’e</w:t>
      </w:r>
      <w:proofErr w:type="spellEnd"/>
      <w:r w:rsidRPr="00C4026F">
        <w:rPr>
          <w:rFonts w:ascii="Palatino Linotype" w:hAnsi="Palatino Linotype"/>
          <w:sz w:val="20"/>
          <w:szCs w:val="20"/>
        </w:rPr>
        <w:t xml:space="preserve"> (1974) göre, bireyden gerçekleştirmesi talep edilen görevlerin bireyin enerjisini ve gücünü aşması; bu istekleri karşılayamayan bireyin başarısızlık duygusu ile yıpranmasına, hayal kırıklığı yaşamasına, </w:t>
      </w:r>
      <w:proofErr w:type="gramStart"/>
      <w:r w:rsidRPr="00C4026F">
        <w:rPr>
          <w:rFonts w:ascii="Palatino Linotype" w:hAnsi="Palatino Linotype"/>
          <w:sz w:val="20"/>
          <w:szCs w:val="20"/>
        </w:rPr>
        <w:t>motivasyonunun</w:t>
      </w:r>
      <w:proofErr w:type="gramEnd"/>
      <w:r w:rsidRPr="00C4026F">
        <w:rPr>
          <w:rFonts w:ascii="Palatino Linotype" w:hAnsi="Palatino Linotype"/>
          <w:sz w:val="20"/>
          <w:szCs w:val="20"/>
        </w:rPr>
        <w:t xml:space="preserve"> sönmesine ve tükenmiş hissetmesine neden olmaktadır (</w:t>
      </w:r>
      <w:proofErr w:type="spellStart"/>
      <w:r w:rsidRPr="00C4026F">
        <w:rPr>
          <w:rFonts w:ascii="Palatino Linotype" w:hAnsi="Palatino Linotype"/>
          <w:sz w:val="20"/>
          <w:szCs w:val="20"/>
        </w:rPr>
        <w:t>Hotchkiss</w:t>
      </w:r>
      <w:proofErr w:type="spellEnd"/>
      <w:r w:rsidRPr="00C4026F">
        <w:rPr>
          <w:rFonts w:ascii="Palatino Linotype" w:hAnsi="Palatino Linotype"/>
          <w:sz w:val="20"/>
          <w:szCs w:val="20"/>
        </w:rPr>
        <w:t xml:space="preserve">, 2008; </w:t>
      </w:r>
      <w:proofErr w:type="spellStart"/>
      <w:r w:rsidRPr="00C4026F">
        <w:rPr>
          <w:rFonts w:ascii="Palatino Linotype" w:hAnsi="Palatino Linotype"/>
          <w:sz w:val="20"/>
          <w:szCs w:val="20"/>
        </w:rPr>
        <w:t>Schwarz</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Cook</w:t>
      </w:r>
      <w:proofErr w:type="spellEnd"/>
      <w:r w:rsidRPr="00C4026F">
        <w:rPr>
          <w:rFonts w:ascii="Palatino Linotype" w:hAnsi="Palatino Linotype"/>
          <w:sz w:val="20"/>
          <w:szCs w:val="20"/>
        </w:rPr>
        <w:t xml:space="preserve">, 2006). Tükenmişlik kavramı </w:t>
      </w:r>
      <w:proofErr w:type="spellStart"/>
      <w:r w:rsidRPr="00C4026F">
        <w:rPr>
          <w:rFonts w:ascii="Palatino Linotype" w:hAnsi="Palatino Linotype"/>
          <w:sz w:val="20"/>
          <w:szCs w:val="20"/>
        </w:rPr>
        <w:t>Freudenberger</w:t>
      </w:r>
      <w:proofErr w:type="spellEnd"/>
      <w:r w:rsidRPr="00C4026F">
        <w:rPr>
          <w:rFonts w:ascii="Palatino Linotype" w:hAnsi="Palatino Linotype"/>
          <w:sz w:val="20"/>
          <w:szCs w:val="20"/>
        </w:rPr>
        <w:t xml:space="preserve"> (1974) tarafından </w:t>
      </w:r>
      <w:proofErr w:type="gramStart"/>
      <w:r w:rsidRPr="00C4026F">
        <w:rPr>
          <w:rFonts w:ascii="Palatino Linotype" w:hAnsi="Palatino Linotype"/>
          <w:sz w:val="20"/>
          <w:szCs w:val="20"/>
        </w:rPr>
        <w:t>literatüre</w:t>
      </w:r>
      <w:proofErr w:type="gramEnd"/>
      <w:r w:rsidRPr="00C4026F">
        <w:rPr>
          <w:rFonts w:ascii="Palatino Linotype" w:hAnsi="Palatino Linotype"/>
          <w:sz w:val="20"/>
          <w:szCs w:val="20"/>
        </w:rPr>
        <w:t xml:space="preserve"> kazandırılmış olsa da; </w:t>
      </w:r>
      <w:r w:rsidRPr="00C4026F">
        <w:rPr>
          <w:rFonts w:ascii="Palatino Linotype" w:hAnsi="Palatino Linotype"/>
          <w:sz w:val="20"/>
          <w:szCs w:val="20"/>
        </w:rPr>
        <w:lastRenderedPageBreak/>
        <w:t xml:space="preserve">bugün tükenmişlik hakkında bilinenlerin çoğu </w:t>
      </w:r>
      <w:proofErr w:type="spellStart"/>
      <w:r w:rsidRPr="00C4026F">
        <w:rPr>
          <w:rFonts w:ascii="Palatino Linotype" w:hAnsi="Palatino Linotype"/>
          <w:sz w:val="20"/>
          <w:szCs w:val="20"/>
        </w:rPr>
        <w:t>Maslach</w:t>
      </w:r>
      <w:proofErr w:type="spellEnd"/>
      <w:r w:rsidRPr="00C4026F">
        <w:rPr>
          <w:rFonts w:ascii="Palatino Linotype" w:hAnsi="Palatino Linotype"/>
          <w:sz w:val="20"/>
          <w:szCs w:val="20"/>
        </w:rPr>
        <w:t xml:space="preserve"> ve Jackson’ın (1981) kavramsallaştırmasına dayanmaktadır (</w:t>
      </w:r>
      <w:proofErr w:type="spellStart"/>
      <w:r w:rsidRPr="00C4026F">
        <w:rPr>
          <w:rFonts w:ascii="Palatino Linotype" w:hAnsi="Palatino Linotype"/>
          <w:sz w:val="20"/>
          <w:szCs w:val="20"/>
        </w:rPr>
        <w:t>Soliemanifar</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Shaabani</w:t>
      </w:r>
      <w:proofErr w:type="spellEnd"/>
      <w:r w:rsidRPr="00C4026F">
        <w:rPr>
          <w:rFonts w:ascii="Palatino Linotype" w:hAnsi="Palatino Linotype"/>
          <w:sz w:val="20"/>
          <w:szCs w:val="20"/>
        </w:rPr>
        <w:t xml:space="preserve">, 2012). </w:t>
      </w:r>
      <w:proofErr w:type="spellStart"/>
      <w:r w:rsidRPr="00C4026F">
        <w:rPr>
          <w:rFonts w:ascii="Palatino Linotype" w:hAnsi="Palatino Linotype"/>
          <w:sz w:val="20"/>
          <w:szCs w:val="20"/>
        </w:rPr>
        <w:t>Maslach</w:t>
      </w:r>
      <w:proofErr w:type="spellEnd"/>
      <w:r w:rsidRPr="00C4026F">
        <w:rPr>
          <w:rFonts w:ascii="Palatino Linotype" w:hAnsi="Palatino Linotype"/>
          <w:sz w:val="20"/>
          <w:szCs w:val="20"/>
        </w:rPr>
        <w:t xml:space="preserve"> ve Jackson (1981) tükenmişlik kavramını; duygusal tükenme, duyarsızlaşma ve kişisel yetkinlik hissinde düşüş şeklinde üç boyutl</w:t>
      </w:r>
      <w:r w:rsidR="000A14F7" w:rsidRPr="00C4026F">
        <w:rPr>
          <w:rFonts w:ascii="Palatino Linotype" w:hAnsi="Palatino Linotype"/>
          <w:sz w:val="20"/>
          <w:szCs w:val="20"/>
        </w:rPr>
        <w:t xml:space="preserve">u bir yapı olarak açıklamıştır. </w:t>
      </w:r>
      <w:r w:rsidRPr="00C4026F">
        <w:rPr>
          <w:rFonts w:ascii="Palatino Linotype" w:hAnsi="Palatino Linotype"/>
          <w:sz w:val="20"/>
          <w:szCs w:val="20"/>
        </w:rPr>
        <w:t>Duygusal tükenme; tükenmişliğin temel bileşeni olup (</w:t>
      </w:r>
      <w:proofErr w:type="spellStart"/>
      <w:r w:rsidRPr="00C4026F">
        <w:rPr>
          <w:rFonts w:ascii="Palatino Linotype" w:hAnsi="Palatino Linotype"/>
          <w:sz w:val="20"/>
          <w:szCs w:val="20"/>
        </w:rPr>
        <w:t>Maslac</w:t>
      </w:r>
      <w:proofErr w:type="spellEnd"/>
      <w:r w:rsidRPr="00C4026F">
        <w:rPr>
          <w:rFonts w:ascii="Palatino Linotype" w:hAnsi="Palatino Linotype"/>
          <w:sz w:val="20"/>
          <w:szCs w:val="20"/>
        </w:rPr>
        <w:t xml:space="preserve">, Jackson ve </w:t>
      </w:r>
      <w:proofErr w:type="spellStart"/>
      <w:r w:rsidRPr="00C4026F">
        <w:rPr>
          <w:rFonts w:ascii="Palatino Linotype" w:hAnsi="Palatino Linotype"/>
          <w:sz w:val="20"/>
          <w:szCs w:val="20"/>
        </w:rPr>
        <w:t>Leiter</w:t>
      </w:r>
      <w:proofErr w:type="spellEnd"/>
      <w:r w:rsidRPr="00C4026F">
        <w:rPr>
          <w:rFonts w:ascii="Palatino Linotype" w:hAnsi="Palatino Linotype"/>
          <w:sz w:val="20"/>
          <w:szCs w:val="20"/>
        </w:rPr>
        <w:t xml:space="preserve">, 1996), bireyin kendisi duygusal açıdan bitkin hissetmesini yansıtmaktadır (Lin ve </w:t>
      </w:r>
      <w:proofErr w:type="spellStart"/>
      <w:r w:rsidRPr="00C4026F">
        <w:rPr>
          <w:rFonts w:ascii="Palatino Linotype" w:hAnsi="Palatino Linotype"/>
          <w:sz w:val="20"/>
          <w:szCs w:val="20"/>
        </w:rPr>
        <w:t>Huang</w:t>
      </w:r>
      <w:proofErr w:type="spellEnd"/>
      <w:r w:rsidRPr="00C4026F">
        <w:rPr>
          <w:rFonts w:ascii="Palatino Linotype" w:hAnsi="Palatino Linotype"/>
          <w:sz w:val="20"/>
          <w:szCs w:val="20"/>
        </w:rPr>
        <w:t>, 2010). Dolayısıyla duygusal tükenme, tükenmişliğin içsel yönünü temsil etmektedir (Sağlam Arı ve Çına Bal, 2008). Bir işin doğası ile o işin yapan bireyin nitelikleri arasındaki uyumsuzluk duygusal tükenmenin kaynağını oluşturmaktadır. Duygusal tükenme yaşayan bireyler; kendilerini yeni bir iş gününe ya da iş ile ilgili yeni bir göreve başlayacak enerjiden yoksun hissederler. Tükenmişliğin i</w:t>
      </w:r>
      <w:r w:rsidR="000A14F7" w:rsidRPr="00C4026F">
        <w:rPr>
          <w:rFonts w:ascii="Palatino Linotype" w:hAnsi="Palatino Linotype"/>
          <w:sz w:val="20"/>
          <w:szCs w:val="20"/>
        </w:rPr>
        <w:t xml:space="preserve">kinci boyutu, duyarsızlaşmadır. </w:t>
      </w:r>
      <w:r w:rsidRPr="00C4026F">
        <w:rPr>
          <w:rFonts w:ascii="Palatino Linotype" w:hAnsi="Palatino Linotype"/>
          <w:sz w:val="20"/>
          <w:szCs w:val="20"/>
        </w:rPr>
        <w:t>Duyarsızlaşma bireyin yaptığı işe yönelik idealist duygularını ve ilgisini kaybetmesi (</w:t>
      </w:r>
      <w:proofErr w:type="spellStart"/>
      <w:r w:rsidRPr="00C4026F">
        <w:rPr>
          <w:rFonts w:ascii="Palatino Linotype" w:hAnsi="Palatino Linotype"/>
          <w:sz w:val="20"/>
          <w:szCs w:val="20"/>
        </w:rPr>
        <w:t>Maslach</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Goldberg</w:t>
      </w:r>
      <w:proofErr w:type="spellEnd"/>
      <w:r w:rsidRPr="00C4026F">
        <w:rPr>
          <w:rFonts w:ascii="Palatino Linotype" w:hAnsi="Palatino Linotype"/>
          <w:sz w:val="20"/>
          <w:szCs w:val="20"/>
        </w:rPr>
        <w:t xml:space="preserve">, 1998), işi gereği etkileşime girmesi gereken bireylere karşı negatif, vurdumduymaz ve katı tavırlar sergilemesiyle ilgilidir (Kim, Lee, Kim, </w:t>
      </w:r>
      <w:proofErr w:type="spellStart"/>
      <w:r w:rsidRPr="00C4026F">
        <w:rPr>
          <w:rFonts w:ascii="Palatino Linotype" w:hAnsi="Palatino Linotype"/>
          <w:sz w:val="20"/>
          <w:szCs w:val="20"/>
        </w:rPr>
        <w:t>Choi</w:t>
      </w:r>
      <w:proofErr w:type="spellEnd"/>
      <w:r w:rsidRPr="00C4026F">
        <w:rPr>
          <w:rFonts w:ascii="Palatino Linotype" w:hAnsi="Palatino Linotype"/>
          <w:sz w:val="20"/>
          <w:szCs w:val="20"/>
        </w:rPr>
        <w:t xml:space="preserve"> ve Lee, 2014). Buna göre, duyarsızlaşmanın tükenmişliğin kişiler arası boyutunu temsil ettiği söylenebilir (Budak ve </w:t>
      </w:r>
      <w:proofErr w:type="spellStart"/>
      <w:r w:rsidRPr="00C4026F">
        <w:rPr>
          <w:rFonts w:ascii="Palatino Linotype" w:hAnsi="Palatino Linotype"/>
          <w:sz w:val="20"/>
          <w:szCs w:val="20"/>
        </w:rPr>
        <w:t>Sürgevil</w:t>
      </w:r>
      <w:proofErr w:type="spellEnd"/>
      <w:r w:rsidRPr="00C4026F">
        <w:rPr>
          <w:rFonts w:ascii="Palatino Linotype" w:hAnsi="Palatino Linotype"/>
          <w:sz w:val="20"/>
          <w:szCs w:val="20"/>
        </w:rPr>
        <w:t>, 2005). Yetkinlik hissinde azalma ise, tükenmişliğin üçüncü boyutunu oluşturmaktadır. Bu boyut, bireyin kendisini negatif değerlendirme eğiliminde olması (</w:t>
      </w:r>
      <w:proofErr w:type="spellStart"/>
      <w:r w:rsidRPr="00C4026F">
        <w:rPr>
          <w:rFonts w:ascii="Palatino Linotype" w:hAnsi="Palatino Linotype"/>
          <w:sz w:val="20"/>
          <w:szCs w:val="20"/>
        </w:rPr>
        <w:t>Skaalvik</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Skaalvik</w:t>
      </w:r>
      <w:proofErr w:type="spellEnd"/>
      <w:r w:rsidRPr="00C4026F">
        <w:rPr>
          <w:rFonts w:ascii="Palatino Linotype" w:hAnsi="Palatino Linotype"/>
          <w:sz w:val="20"/>
          <w:szCs w:val="20"/>
        </w:rPr>
        <w:t>) ve yapmış olduğu işin gereklerini yerine getirme konusunda kendisini yetersiz görmesi ile karakterize edilmektedir (</w:t>
      </w:r>
      <w:proofErr w:type="spellStart"/>
      <w:r w:rsidRPr="00C4026F">
        <w:rPr>
          <w:rFonts w:ascii="Palatino Linotype" w:hAnsi="Palatino Linotype"/>
          <w:sz w:val="20"/>
          <w:szCs w:val="20"/>
        </w:rPr>
        <w:t>Yang</w:t>
      </w:r>
      <w:proofErr w:type="spellEnd"/>
      <w:r w:rsidRPr="00C4026F">
        <w:rPr>
          <w:rFonts w:ascii="Palatino Linotype" w:hAnsi="Palatino Linotype"/>
          <w:sz w:val="20"/>
          <w:szCs w:val="20"/>
        </w:rPr>
        <w:t>, 2004).</w:t>
      </w:r>
    </w:p>
    <w:p w:rsidR="009E449B" w:rsidRPr="00C4026F" w:rsidRDefault="009E449B" w:rsidP="008575F6">
      <w:pPr>
        <w:spacing w:after="120" w:line="240" w:lineRule="auto"/>
        <w:ind w:firstLine="708"/>
        <w:jc w:val="both"/>
        <w:rPr>
          <w:rFonts w:ascii="Palatino Linotype" w:hAnsi="Palatino Linotype"/>
          <w:sz w:val="20"/>
          <w:szCs w:val="20"/>
        </w:rPr>
      </w:pPr>
      <w:r w:rsidRPr="00C4026F">
        <w:rPr>
          <w:rFonts w:ascii="Palatino Linotype" w:hAnsi="Palatino Linotype"/>
          <w:sz w:val="20"/>
          <w:szCs w:val="20"/>
        </w:rPr>
        <w:t>Tükenmişlik kavramı başlangıçta hemşireler, doktorlar, öğretmenler, avukatlar, emniyet görevlileri ve psikologlar gibi bireylere hizmet veren mesleklerde çalışan insanlar için ortaya atılmıştır (</w:t>
      </w:r>
      <w:proofErr w:type="spellStart"/>
      <w:r w:rsidRPr="00C4026F">
        <w:rPr>
          <w:rFonts w:ascii="Palatino Linotype" w:hAnsi="Palatino Linotype"/>
          <w:sz w:val="20"/>
          <w:szCs w:val="20"/>
        </w:rPr>
        <w:t>Maroco</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Campos</w:t>
      </w:r>
      <w:proofErr w:type="spellEnd"/>
      <w:r w:rsidRPr="00C4026F">
        <w:rPr>
          <w:rFonts w:ascii="Palatino Linotype" w:hAnsi="Palatino Linotype"/>
          <w:sz w:val="20"/>
          <w:szCs w:val="20"/>
        </w:rPr>
        <w:t xml:space="preserve">, 2012; </w:t>
      </w:r>
      <w:proofErr w:type="spellStart"/>
      <w:r w:rsidRPr="00C4026F">
        <w:rPr>
          <w:rFonts w:ascii="Palatino Linotype" w:hAnsi="Palatino Linotype"/>
          <w:sz w:val="20"/>
          <w:szCs w:val="20"/>
        </w:rPr>
        <w:t>Maslach</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Schaufeli</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Leiter</w:t>
      </w:r>
      <w:proofErr w:type="spellEnd"/>
      <w:r w:rsidRPr="00C4026F">
        <w:rPr>
          <w:rFonts w:ascii="Palatino Linotype" w:hAnsi="Palatino Linotype"/>
          <w:sz w:val="20"/>
          <w:szCs w:val="20"/>
        </w:rPr>
        <w:t>, 2001). Bununla birlikte, daha sonraki araştırmalar tükenmişliğin sadece insanlar ile yakın etkileşim kurmayı gerektiren meslekler ile sınırlı olmadığını; tüm meslek ve iş gruplarında görülebildiğini ortaya koymuştur (</w:t>
      </w:r>
      <w:proofErr w:type="spellStart"/>
      <w:r w:rsidRPr="00C4026F">
        <w:rPr>
          <w:rFonts w:ascii="Palatino Linotype" w:hAnsi="Palatino Linotype"/>
          <w:sz w:val="20"/>
          <w:szCs w:val="20"/>
        </w:rPr>
        <w:t>Leiter</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Schaufeli</w:t>
      </w:r>
      <w:proofErr w:type="spellEnd"/>
      <w:r w:rsidRPr="00C4026F">
        <w:rPr>
          <w:rFonts w:ascii="Palatino Linotype" w:hAnsi="Palatino Linotype"/>
          <w:sz w:val="20"/>
          <w:szCs w:val="20"/>
        </w:rPr>
        <w:t>, 1996). Öğrencilerin temel aktiviteleri birer iş olarak görülebildiğinden öğrenciler de tükenmişlik yaşayabilmektedir (</w:t>
      </w:r>
      <w:proofErr w:type="spellStart"/>
      <w:r w:rsidRPr="00C4026F">
        <w:rPr>
          <w:rFonts w:ascii="Palatino Linotype" w:hAnsi="Palatino Linotype"/>
          <w:sz w:val="20"/>
          <w:szCs w:val="20"/>
        </w:rPr>
        <w:t>Schaufeli</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Martinez</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Pinto</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Salanova</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Bakker</w:t>
      </w:r>
      <w:proofErr w:type="spellEnd"/>
      <w:r w:rsidRPr="00C4026F">
        <w:rPr>
          <w:rFonts w:ascii="Palatino Linotype" w:hAnsi="Palatino Linotype"/>
          <w:sz w:val="20"/>
          <w:szCs w:val="20"/>
        </w:rPr>
        <w:t>, 2002). Diğer bir deyişle, psikolojik perspektiften öğrenciler birer çalışan değilse de; okula devam etme, sınıftaki etkinliklere katılma, verilen ödevleri yapma ve sınavları geçme gibi öğrencilerin gerçekleştirmeleri beklenen faaliyetler birer iş olarak kabul edilmektedir (</w:t>
      </w:r>
      <w:proofErr w:type="spellStart"/>
      <w:r w:rsidRPr="00C4026F">
        <w:rPr>
          <w:rFonts w:ascii="Palatino Linotype" w:hAnsi="Palatino Linotype"/>
          <w:sz w:val="20"/>
          <w:szCs w:val="20"/>
        </w:rPr>
        <w:t>Lian</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Huang</w:t>
      </w:r>
      <w:proofErr w:type="spellEnd"/>
      <w:r w:rsidRPr="00C4026F">
        <w:rPr>
          <w:rFonts w:ascii="Palatino Linotype" w:hAnsi="Palatino Linotype"/>
          <w:sz w:val="20"/>
          <w:szCs w:val="20"/>
        </w:rPr>
        <w:t>, 2010). Dolayısıyla, tükenmişlik farklı meslekleri icra eden çalışanlarda görülebildiği gibi, çeşitli akademik görevleri yerine getirmekle yükümlü olan öğrencilerde de görülebilmektedir (</w:t>
      </w:r>
      <w:proofErr w:type="spellStart"/>
      <w:r w:rsidRPr="00C4026F">
        <w:rPr>
          <w:rFonts w:ascii="Palatino Linotype" w:hAnsi="Palatino Linotype"/>
          <w:sz w:val="20"/>
          <w:szCs w:val="20"/>
        </w:rPr>
        <w:t>Parker</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Salmena-Aro</w:t>
      </w:r>
      <w:proofErr w:type="spellEnd"/>
      <w:r w:rsidRPr="00C4026F">
        <w:rPr>
          <w:rFonts w:ascii="Palatino Linotype" w:hAnsi="Palatino Linotype"/>
          <w:sz w:val="20"/>
          <w:szCs w:val="20"/>
        </w:rPr>
        <w:t xml:space="preserve">, 2011). Pines, </w:t>
      </w:r>
      <w:proofErr w:type="spellStart"/>
      <w:r w:rsidRPr="00C4026F">
        <w:rPr>
          <w:rFonts w:ascii="Palatino Linotype" w:hAnsi="Palatino Linotype"/>
          <w:sz w:val="20"/>
          <w:szCs w:val="20"/>
        </w:rPr>
        <w:t>Aronson</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Kafry</w:t>
      </w:r>
      <w:proofErr w:type="spellEnd"/>
      <w:r w:rsidRPr="00C4026F">
        <w:rPr>
          <w:rFonts w:ascii="Palatino Linotype" w:hAnsi="Palatino Linotype"/>
          <w:sz w:val="20"/>
          <w:szCs w:val="20"/>
        </w:rPr>
        <w:t xml:space="preserve"> (1981) üniversite öğrencileri, hemşireler ile danışmanların tükenmişlik düzeylerini karşılaştırmalı olarak incelediği araştırma sonucunda, öğrencilerin tükenmişlik ölçeğinden aldıkları puanların ölçeğin orta noktasından üst ucuna kadar uzandığını belirlemiş ve bu bulguyu öğrencilerin tükenmişlik yaşayabileceğine yönelik bir kanıt olarak yorumlamıştır. Öğrencilerin yaşadığı tükenmişlik okul ile ilgili tükenmişlik (Aypay, 2011; </w:t>
      </w:r>
      <w:proofErr w:type="spellStart"/>
      <w:r w:rsidRPr="00C4026F">
        <w:rPr>
          <w:rFonts w:ascii="Palatino Linotype" w:hAnsi="Palatino Linotype"/>
          <w:sz w:val="20"/>
          <w:szCs w:val="20"/>
        </w:rPr>
        <w:t>Kiuru</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Aunola</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Nurmi</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Leskinen</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Salmela-Aro</w:t>
      </w:r>
      <w:proofErr w:type="spellEnd"/>
      <w:r w:rsidRPr="00C4026F">
        <w:rPr>
          <w:rFonts w:ascii="Palatino Linotype" w:hAnsi="Palatino Linotype"/>
          <w:sz w:val="20"/>
          <w:szCs w:val="20"/>
        </w:rPr>
        <w:t xml:space="preserve">, 2008; </w:t>
      </w:r>
      <w:proofErr w:type="spellStart"/>
      <w:r w:rsidRPr="00C4026F">
        <w:rPr>
          <w:rFonts w:ascii="Palatino Linotype" w:hAnsi="Palatino Linotype"/>
          <w:sz w:val="20"/>
          <w:szCs w:val="20"/>
        </w:rPr>
        <w:t>Salmela-Aro</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Upadyaya</w:t>
      </w:r>
      <w:proofErr w:type="spellEnd"/>
      <w:r w:rsidRPr="00C4026F">
        <w:rPr>
          <w:rFonts w:ascii="Palatino Linotype" w:hAnsi="Palatino Linotype"/>
          <w:sz w:val="20"/>
          <w:szCs w:val="20"/>
        </w:rPr>
        <w:t>, 2014) ya da akademik tükenmişlik (</w:t>
      </w:r>
      <w:proofErr w:type="spellStart"/>
      <w:r w:rsidRPr="00C4026F">
        <w:rPr>
          <w:rFonts w:ascii="Palatino Linotype" w:hAnsi="Palatino Linotype"/>
          <w:sz w:val="20"/>
          <w:szCs w:val="20"/>
        </w:rPr>
        <w:t>Rostami</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Abedi</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Schaufeli</w:t>
      </w:r>
      <w:proofErr w:type="spellEnd"/>
      <w:r w:rsidRPr="00C4026F">
        <w:rPr>
          <w:rFonts w:ascii="Palatino Linotype" w:hAnsi="Palatino Linotype"/>
          <w:sz w:val="20"/>
          <w:szCs w:val="20"/>
        </w:rPr>
        <w:t xml:space="preserve">, 2012; </w:t>
      </w:r>
      <w:proofErr w:type="spellStart"/>
      <w:r w:rsidRPr="00C4026F">
        <w:rPr>
          <w:rFonts w:ascii="Palatino Linotype" w:hAnsi="Palatino Linotype"/>
          <w:sz w:val="20"/>
          <w:szCs w:val="20"/>
        </w:rPr>
        <w:t>Zhang</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Klassen</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Wang</w:t>
      </w:r>
      <w:proofErr w:type="spellEnd"/>
      <w:r w:rsidRPr="00C4026F">
        <w:rPr>
          <w:rFonts w:ascii="Palatino Linotype" w:hAnsi="Palatino Linotype"/>
          <w:sz w:val="20"/>
          <w:szCs w:val="20"/>
        </w:rPr>
        <w:t>, 2013) olarak isimlendirilmektedir. Bu çalışmada öğrencilerin yaşadığı tükenmişlik için akademik tükenmişlik ifadesi kullanılmıştır.</w:t>
      </w:r>
    </w:p>
    <w:p w:rsidR="009E449B" w:rsidRPr="00C4026F" w:rsidRDefault="009E449B" w:rsidP="008575F6">
      <w:pPr>
        <w:spacing w:after="0" w:line="240" w:lineRule="auto"/>
        <w:ind w:firstLine="709"/>
        <w:jc w:val="both"/>
        <w:rPr>
          <w:rFonts w:ascii="Palatino Linotype" w:hAnsi="Palatino Linotype"/>
          <w:b/>
          <w:i/>
          <w:sz w:val="20"/>
          <w:szCs w:val="20"/>
        </w:rPr>
      </w:pPr>
      <w:r w:rsidRPr="00C4026F">
        <w:rPr>
          <w:rFonts w:ascii="Palatino Linotype" w:hAnsi="Palatino Linotype"/>
          <w:b/>
          <w:i/>
          <w:sz w:val="20"/>
          <w:szCs w:val="20"/>
        </w:rPr>
        <w:t>Akademik Tükenmişlik</w:t>
      </w:r>
    </w:p>
    <w:p w:rsidR="009E449B" w:rsidRPr="00C4026F" w:rsidRDefault="009E449B" w:rsidP="008575F6">
      <w:pPr>
        <w:spacing w:after="120" w:line="240" w:lineRule="auto"/>
        <w:ind w:firstLine="708"/>
        <w:jc w:val="both"/>
        <w:rPr>
          <w:rFonts w:ascii="Palatino Linotype" w:hAnsi="Palatino Linotype"/>
          <w:sz w:val="20"/>
          <w:szCs w:val="20"/>
        </w:rPr>
      </w:pPr>
      <w:r w:rsidRPr="00C4026F">
        <w:rPr>
          <w:rFonts w:ascii="Palatino Linotype" w:hAnsi="Palatino Linotype"/>
          <w:sz w:val="20"/>
          <w:szCs w:val="20"/>
        </w:rPr>
        <w:t>Akademik tükenmişlik; ders yükü, sınav kaygısı ve diğer psikolojik unsurlardan dolayı öğrencilerde oluşan kronik stresi ifade etmektedir (</w:t>
      </w:r>
      <w:proofErr w:type="spellStart"/>
      <w:r w:rsidRPr="00C4026F">
        <w:rPr>
          <w:rFonts w:ascii="Palatino Linotype" w:hAnsi="Palatino Linotype"/>
          <w:sz w:val="20"/>
          <w:szCs w:val="20"/>
        </w:rPr>
        <w:t>Shih</w:t>
      </w:r>
      <w:proofErr w:type="spellEnd"/>
      <w:r w:rsidRPr="00C4026F">
        <w:rPr>
          <w:rFonts w:ascii="Palatino Linotype" w:hAnsi="Palatino Linotype"/>
          <w:sz w:val="20"/>
          <w:szCs w:val="20"/>
        </w:rPr>
        <w:t xml:space="preserve">, 2012; </w:t>
      </w:r>
      <w:proofErr w:type="spellStart"/>
      <w:r w:rsidRPr="00C4026F">
        <w:rPr>
          <w:rFonts w:ascii="Palatino Linotype" w:hAnsi="Palatino Linotype"/>
          <w:sz w:val="20"/>
          <w:szCs w:val="20"/>
        </w:rPr>
        <w:t>Yang</w:t>
      </w:r>
      <w:proofErr w:type="spellEnd"/>
      <w:r w:rsidRPr="00C4026F">
        <w:rPr>
          <w:rFonts w:ascii="Palatino Linotype" w:hAnsi="Palatino Linotype"/>
          <w:sz w:val="20"/>
          <w:szCs w:val="20"/>
        </w:rPr>
        <w:t>, 2004). Akademik tükenmişlik, tükenmişlik kavramına ilişkin orijinal teoride olduğu gibi duygusal tükenme, duyarsızlaşma ve düşük kişisel yetkinlik hissi boyutları ile açıklanmaktadır (</w:t>
      </w:r>
      <w:proofErr w:type="spellStart"/>
      <w:r w:rsidRPr="00C4026F">
        <w:rPr>
          <w:rFonts w:ascii="Palatino Linotype" w:hAnsi="Palatino Linotype"/>
          <w:sz w:val="20"/>
          <w:szCs w:val="20"/>
        </w:rPr>
        <w:t>Schaufeli</w:t>
      </w:r>
      <w:proofErr w:type="spellEnd"/>
      <w:r w:rsidRPr="00C4026F">
        <w:rPr>
          <w:rFonts w:ascii="Palatino Linotype" w:hAnsi="Palatino Linotype"/>
          <w:sz w:val="20"/>
          <w:szCs w:val="20"/>
        </w:rPr>
        <w:t xml:space="preserve"> vd</w:t>
      </w:r>
      <w:proofErr w:type="gramStart"/>
      <w:r w:rsidRPr="00C4026F">
        <w:rPr>
          <w:rFonts w:ascii="Palatino Linotype" w:hAnsi="Palatino Linotype"/>
          <w:sz w:val="20"/>
          <w:szCs w:val="20"/>
        </w:rPr>
        <w:t>.,</w:t>
      </w:r>
      <w:proofErr w:type="gramEnd"/>
      <w:r w:rsidRPr="00C4026F">
        <w:rPr>
          <w:rFonts w:ascii="Palatino Linotype" w:hAnsi="Palatino Linotype"/>
          <w:sz w:val="20"/>
          <w:szCs w:val="20"/>
        </w:rPr>
        <w:t xml:space="preserve"> 2002). Akademik duygusal tükenme; okul ile ilgili işlerden kaynaklanan kronik yorgunluk ve okula yönelik gerginlik hissi olarak ifade edilmektedir. Akademik duyarsızlaşma; okul ile ilgili etkinliklere karşı kayıtsız kalma, okula yönelik mesafeli tutum, akademik aktivitelere yönelik ilgiyi kaybetme ve bu aktiviteleri anlamsız birer uğraş olarak görme şeklinde tanımlanabilir. Akademik başarı duygusunda azalma hissi ise, öğrencinin kendi çalışmalarını negatif değerlendirme eğiliminde olmasını ve kendisini yetersiz bir öğrenci olarak algılamasını yansıtmaktadır (</w:t>
      </w:r>
      <w:proofErr w:type="spellStart"/>
      <w:r w:rsidRPr="00C4026F">
        <w:rPr>
          <w:rFonts w:ascii="Palatino Linotype" w:hAnsi="Palatino Linotype"/>
          <w:sz w:val="20"/>
          <w:szCs w:val="20"/>
        </w:rPr>
        <w:t>Salmela-Aro</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Kiuru</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Leskinen</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Nurmi</w:t>
      </w:r>
      <w:proofErr w:type="spellEnd"/>
      <w:r w:rsidRPr="00C4026F">
        <w:rPr>
          <w:rFonts w:ascii="Palatino Linotype" w:hAnsi="Palatino Linotype"/>
          <w:sz w:val="20"/>
          <w:szCs w:val="20"/>
        </w:rPr>
        <w:t>, 2009).</w:t>
      </w:r>
    </w:p>
    <w:p w:rsidR="003870C1" w:rsidRDefault="003870C1">
      <w:pPr>
        <w:rPr>
          <w:rFonts w:ascii="Palatino Linotype" w:hAnsi="Palatino Linotype"/>
          <w:sz w:val="20"/>
          <w:szCs w:val="20"/>
        </w:rPr>
      </w:pPr>
      <w:r>
        <w:rPr>
          <w:rFonts w:ascii="Palatino Linotype" w:hAnsi="Palatino Linotype"/>
          <w:sz w:val="20"/>
          <w:szCs w:val="20"/>
        </w:rPr>
        <w:br w:type="page"/>
      </w:r>
    </w:p>
    <w:p w:rsidR="009E449B" w:rsidRPr="00C4026F" w:rsidRDefault="009E449B" w:rsidP="008575F6">
      <w:pPr>
        <w:spacing w:after="120" w:line="240" w:lineRule="auto"/>
        <w:ind w:firstLine="708"/>
        <w:jc w:val="both"/>
        <w:rPr>
          <w:rFonts w:ascii="Palatino Linotype" w:hAnsi="Palatino Linotype"/>
          <w:sz w:val="20"/>
          <w:szCs w:val="20"/>
        </w:rPr>
      </w:pPr>
      <w:r w:rsidRPr="00C4026F">
        <w:rPr>
          <w:rFonts w:ascii="Palatino Linotype" w:hAnsi="Palatino Linotype"/>
          <w:sz w:val="20"/>
          <w:szCs w:val="20"/>
        </w:rPr>
        <w:lastRenderedPageBreak/>
        <w:t>Literatürdeki araştırmalar akademik tükenmişliğin bireysel ve bağlamsal birçok faktör ile ilişkili olduğunu ortaya koymuştur. Öz yeterlilik (</w:t>
      </w:r>
      <w:proofErr w:type="spellStart"/>
      <w:r w:rsidRPr="00C4026F">
        <w:rPr>
          <w:rFonts w:ascii="Palatino Linotype" w:hAnsi="Palatino Linotype"/>
          <w:sz w:val="20"/>
          <w:szCs w:val="20"/>
        </w:rPr>
        <w:t>Yang</w:t>
      </w:r>
      <w:proofErr w:type="spellEnd"/>
      <w:r w:rsidRPr="00C4026F">
        <w:rPr>
          <w:rFonts w:ascii="Palatino Linotype" w:hAnsi="Palatino Linotype"/>
          <w:sz w:val="20"/>
          <w:szCs w:val="20"/>
        </w:rPr>
        <w:t>, 2004), hata yapma endişesi, eylemlerden şüphe duyma (</w:t>
      </w:r>
      <w:proofErr w:type="spellStart"/>
      <w:r w:rsidRPr="00C4026F">
        <w:rPr>
          <w:rFonts w:ascii="Palatino Linotype" w:hAnsi="Palatino Linotype"/>
          <w:sz w:val="20"/>
          <w:szCs w:val="20"/>
        </w:rPr>
        <w:t>Zhang</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Gan</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Cham</w:t>
      </w:r>
      <w:proofErr w:type="spellEnd"/>
      <w:r w:rsidRPr="00C4026F">
        <w:rPr>
          <w:rFonts w:ascii="Palatino Linotype" w:hAnsi="Palatino Linotype"/>
          <w:sz w:val="20"/>
          <w:szCs w:val="20"/>
        </w:rPr>
        <w:t>, 2007), cinsiyet (</w:t>
      </w:r>
      <w:proofErr w:type="spellStart"/>
      <w:r w:rsidRPr="00C4026F">
        <w:rPr>
          <w:rFonts w:ascii="Palatino Linotype" w:hAnsi="Palatino Linotype"/>
          <w:sz w:val="20"/>
          <w:szCs w:val="20"/>
        </w:rPr>
        <w:t>Balkıs</w:t>
      </w:r>
      <w:proofErr w:type="spellEnd"/>
      <w:r w:rsidRPr="00C4026F">
        <w:rPr>
          <w:rFonts w:ascii="Palatino Linotype" w:hAnsi="Palatino Linotype"/>
          <w:sz w:val="20"/>
          <w:szCs w:val="20"/>
        </w:rPr>
        <w:t xml:space="preserve">, Duru, Buluş ve Duru, 2011; Baş, 2011; Gündüz, </w:t>
      </w:r>
      <w:proofErr w:type="spellStart"/>
      <w:r w:rsidRPr="00C4026F">
        <w:rPr>
          <w:rFonts w:ascii="Palatino Linotype" w:hAnsi="Palatino Linotype"/>
          <w:sz w:val="20"/>
          <w:szCs w:val="20"/>
        </w:rPr>
        <w:t>Çapri</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Gökbakan</w:t>
      </w:r>
      <w:proofErr w:type="spellEnd"/>
      <w:r w:rsidRPr="00C4026F">
        <w:rPr>
          <w:rFonts w:ascii="Palatino Linotype" w:hAnsi="Palatino Linotype"/>
          <w:sz w:val="20"/>
          <w:szCs w:val="20"/>
        </w:rPr>
        <w:t xml:space="preserve">, 2012; </w:t>
      </w:r>
      <w:proofErr w:type="spellStart"/>
      <w:r w:rsidRPr="00C4026F">
        <w:rPr>
          <w:rFonts w:ascii="Palatino Linotype" w:hAnsi="Palatino Linotype"/>
          <w:sz w:val="20"/>
          <w:szCs w:val="20"/>
        </w:rPr>
        <w:t>Kalantarkousheh</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Araqi</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Moslem</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Mirzaee</w:t>
      </w:r>
      <w:proofErr w:type="spellEnd"/>
      <w:r w:rsidRPr="00C4026F">
        <w:rPr>
          <w:rFonts w:ascii="Palatino Linotype" w:hAnsi="Palatino Linotype"/>
          <w:sz w:val="20"/>
          <w:szCs w:val="20"/>
        </w:rPr>
        <w:t>, 2013; Sever ve Aypay, 2011), sınav kaygısı (</w:t>
      </w:r>
      <w:proofErr w:type="spellStart"/>
      <w:r w:rsidRPr="00C4026F">
        <w:rPr>
          <w:rFonts w:ascii="Palatino Linotype" w:hAnsi="Palatino Linotype"/>
          <w:sz w:val="20"/>
          <w:szCs w:val="20"/>
        </w:rPr>
        <w:t>Çapulcuoğlu</w:t>
      </w:r>
      <w:proofErr w:type="spellEnd"/>
      <w:r w:rsidRPr="00C4026F">
        <w:rPr>
          <w:rFonts w:ascii="Palatino Linotype" w:hAnsi="Palatino Linotype"/>
          <w:sz w:val="20"/>
          <w:szCs w:val="20"/>
        </w:rPr>
        <w:t xml:space="preserve"> ve Gündüz, 2013), stresle başa çıkma becerisi (</w:t>
      </w:r>
      <w:proofErr w:type="spellStart"/>
      <w:r w:rsidRPr="00C4026F">
        <w:rPr>
          <w:rFonts w:ascii="Palatino Linotype" w:hAnsi="Palatino Linotype"/>
          <w:sz w:val="20"/>
          <w:szCs w:val="20"/>
        </w:rPr>
        <w:t>Çapulcuoğlu</w:t>
      </w:r>
      <w:proofErr w:type="spellEnd"/>
      <w:r w:rsidRPr="00C4026F">
        <w:rPr>
          <w:rFonts w:ascii="Palatino Linotype" w:hAnsi="Palatino Linotype"/>
          <w:sz w:val="20"/>
          <w:szCs w:val="20"/>
        </w:rPr>
        <w:t xml:space="preserve"> ve Gündüz, 2013; </w:t>
      </w:r>
      <w:proofErr w:type="spellStart"/>
      <w:r w:rsidRPr="00C4026F">
        <w:rPr>
          <w:rFonts w:ascii="Palatino Linotype" w:hAnsi="Palatino Linotype"/>
          <w:sz w:val="20"/>
          <w:szCs w:val="20"/>
        </w:rPr>
        <w:t>Gan</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Shang</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Zhang</w:t>
      </w:r>
      <w:proofErr w:type="spellEnd"/>
      <w:r w:rsidRPr="00C4026F">
        <w:rPr>
          <w:rFonts w:ascii="Palatino Linotype" w:hAnsi="Palatino Linotype"/>
          <w:sz w:val="20"/>
          <w:szCs w:val="20"/>
        </w:rPr>
        <w:t>, 2007), akademik beklentilere ilişkin stres (Aypay, 2011), öznel iyi oluş (Aypay ve Eryılmaz, 2011), yaşam doyumu (</w:t>
      </w:r>
      <w:proofErr w:type="spellStart"/>
      <w:r w:rsidRPr="00C4026F">
        <w:rPr>
          <w:rFonts w:ascii="Palatino Linotype" w:hAnsi="Palatino Linotype"/>
          <w:sz w:val="20"/>
          <w:szCs w:val="20"/>
        </w:rPr>
        <w:t>Rostami</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Abedil</w:t>
      </w:r>
      <w:proofErr w:type="spellEnd"/>
      <w:r w:rsidRPr="00C4026F">
        <w:rPr>
          <w:rFonts w:ascii="Palatino Linotype" w:hAnsi="Palatino Linotype"/>
          <w:sz w:val="20"/>
          <w:szCs w:val="20"/>
        </w:rPr>
        <w:t>, 2012</w:t>
      </w:r>
      <w:r w:rsidR="00C54561">
        <w:rPr>
          <w:rFonts w:ascii="Palatino Linotype" w:hAnsi="Palatino Linotype"/>
          <w:sz w:val="20"/>
          <w:szCs w:val="20"/>
        </w:rPr>
        <w:t>), başarı yönelimi (</w:t>
      </w:r>
      <w:proofErr w:type="spellStart"/>
      <w:r w:rsidR="00C54561">
        <w:rPr>
          <w:rFonts w:ascii="Palatino Linotype" w:hAnsi="Palatino Linotype"/>
          <w:sz w:val="20"/>
          <w:szCs w:val="20"/>
        </w:rPr>
        <w:t>Shih</w:t>
      </w:r>
      <w:proofErr w:type="spellEnd"/>
      <w:r w:rsidR="00C54561">
        <w:rPr>
          <w:rFonts w:ascii="Palatino Linotype" w:hAnsi="Palatino Linotype"/>
          <w:sz w:val="20"/>
          <w:szCs w:val="20"/>
        </w:rPr>
        <w:t xml:space="preserve">, 2012), </w:t>
      </w:r>
      <w:r w:rsidRPr="00C4026F">
        <w:rPr>
          <w:rFonts w:ascii="Palatino Linotype" w:hAnsi="Palatino Linotype"/>
          <w:sz w:val="20"/>
          <w:szCs w:val="20"/>
        </w:rPr>
        <w:t>akademik erteleme eğilimi (</w:t>
      </w:r>
      <w:proofErr w:type="spellStart"/>
      <w:r w:rsidRPr="00C4026F">
        <w:rPr>
          <w:rFonts w:ascii="Palatino Linotype" w:hAnsi="Palatino Linotype"/>
          <w:sz w:val="20"/>
          <w:szCs w:val="20"/>
        </w:rPr>
        <w:t>Balkıs</w:t>
      </w:r>
      <w:proofErr w:type="spellEnd"/>
      <w:r w:rsidRPr="00C4026F">
        <w:rPr>
          <w:rFonts w:ascii="Palatino Linotype" w:hAnsi="Palatino Linotype"/>
          <w:sz w:val="20"/>
          <w:szCs w:val="20"/>
        </w:rPr>
        <w:t>, 2013) ve kontrol odağı (</w:t>
      </w:r>
      <w:proofErr w:type="spellStart"/>
      <w:r w:rsidRPr="00C4026F">
        <w:rPr>
          <w:rFonts w:ascii="Palatino Linotype" w:hAnsi="Palatino Linotype"/>
          <w:sz w:val="20"/>
          <w:szCs w:val="20"/>
        </w:rPr>
        <w:t>Kalantarkousheh</w:t>
      </w:r>
      <w:proofErr w:type="spellEnd"/>
      <w:r w:rsidRPr="00C4026F">
        <w:rPr>
          <w:rFonts w:ascii="Palatino Linotype" w:hAnsi="Palatino Linotype"/>
          <w:sz w:val="20"/>
          <w:szCs w:val="20"/>
        </w:rPr>
        <w:t xml:space="preserve"> vd</w:t>
      </w:r>
      <w:proofErr w:type="gramStart"/>
      <w:r w:rsidRPr="00C4026F">
        <w:rPr>
          <w:rFonts w:ascii="Palatino Linotype" w:hAnsi="Palatino Linotype"/>
          <w:sz w:val="20"/>
          <w:szCs w:val="20"/>
        </w:rPr>
        <w:t>.,</w:t>
      </w:r>
      <w:proofErr w:type="gramEnd"/>
      <w:r w:rsidRPr="00C4026F">
        <w:rPr>
          <w:rFonts w:ascii="Palatino Linotype" w:hAnsi="Palatino Linotype"/>
          <w:sz w:val="20"/>
          <w:szCs w:val="20"/>
        </w:rPr>
        <w:t xml:space="preserve"> 2013) akademik tükenmişliği etkileyen bireysel faktörler arasında yer almaktadır. Algılanan sosyal destek (</w:t>
      </w:r>
      <w:proofErr w:type="spellStart"/>
      <w:r w:rsidRPr="00C4026F">
        <w:rPr>
          <w:rFonts w:ascii="Palatino Linotype" w:hAnsi="Palatino Linotype"/>
          <w:sz w:val="20"/>
          <w:szCs w:val="20"/>
        </w:rPr>
        <w:t>Jacobs</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Dodd</w:t>
      </w:r>
      <w:proofErr w:type="spellEnd"/>
      <w:r w:rsidRPr="00C4026F">
        <w:rPr>
          <w:rFonts w:ascii="Palatino Linotype" w:hAnsi="Palatino Linotype"/>
          <w:sz w:val="20"/>
          <w:szCs w:val="20"/>
        </w:rPr>
        <w:t>, 2003; Kutsal ve Bilge, 2012), anne baba tutumları (</w:t>
      </w:r>
      <w:proofErr w:type="spellStart"/>
      <w:r w:rsidRPr="00C4026F">
        <w:rPr>
          <w:rFonts w:ascii="Palatino Linotype" w:hAnsi="Palatino Linotype"/>
          <w:sz w:val="20"/>
          <w:szCs w:val="20"/>
        </w:rPr>
        <w:t>Çapulcuoğlu</w:t>
      </w:r>
      <w:proofErr w:type="spellEnd"/>
      <w:r w:rsidRPr="00C4026F">
        <w:rPr>
          <w:rFonts w:ascii="Palatino Linotype" w:hAnsi="Palatino Linotype"/>
          <w:sz w:val="20"/>
          <w:szCs w:val="20"/>
        </w:rPr>
        <w:t xml:space="preserve"> ve Gündüz, 2013), sınıf iklimi (</w:t>
      </w:r>
      <w:proofErr w:type="spellStart"/>
      <w:r w:rsidRPr="00C4026F">
        <w:rPr>
          <w:rFonts w:ascii="Palatino Linotype" w:hAnsi="Palatino Linotype"/>
          <w:sz w:val="20"/>
          <w:szCs w:val="20"/>
        </w:rPr>
        <w:t>Adie</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Wakefield</w:t>
      </w:r>
      <w:proofErr w:type="spellEnd"/>
      <w:r w:rsidRPr="00C4026F">
        <w:rPr>
          <w:rFonts w:ascii="Palatino Linotype" w:hAnsi="Palatino Linotype"/>
          <w:sz w:val="20"/>
          <w:szCs w:val="20"/>
        </w:rPr>
        <w:t xml:space="preserve">, 2011; </w:t>
      </w:r>
      <w:proofErr w:type="spellStart"/>
      <w:r w:rsidRPr="00C4026F">
        <w:rPr>
          <w:rFonts w:ascii="Palatino Linotype" w:hAnsi="Palatino Linotype"/>
          <w:sz w:val="20"/>
          <w:szCs w:val="20"/>
        </w:rPr>
        <w:t>Salmela-Aro</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Kiuru</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Pietikäinen</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Jokela</w:t>
      </w:r>
      <w:proofErr w:type="spellEnd"/>
      <w:r w:rsidRPr="00C4026F">
        <w:rPr>
          <w:rFonts w:ascii="Palatino Linotype" w:hAnsi="Palatino Linotype"/>
          <w:sz w:val="20"/>
          <w:szCs w:val="20"/>
        </w:rPr>
        <w:t xml:space="preserve">, 2008; </w:t>
      </w:r>
      <w:proofErr w:type="spellStart"/>
      <w:r w:rsidRPr="00C4026F">
        <w:rPr>
          <w:rFonts w:ascii="Palatino Linotype" w:hAnsi="Palatino Linotype"/>
          <w:sz w:val="20"/>
          <w:szCs w:val="20"/>
        </w:rPr>
        <w:t>Valickienea</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Zukauskienea</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Raiziene</w:t>
      </w:r>
      <w:proofErr w:type="spellEnd"/>
      <w:r w:rsidRPr="00C4026F">
        <w:rPr>
          <w:rFonts w:ascii="Palatino Linotype" w:hAnsi="Palatino Linotype"/>
          <w:sz w:val="20"/>
          <w:szCs w:val="20"/>
        </w:rPr>
        <w:t>, 2011), sınıf ortamında öğrencilere sunulan öğrenme materyalleri, akademik rehberlik ve bağımsız öğrenme fırsatları (</w:t>
      </w:r>
      <w:proofErr w:type="spellStart"/>
      <w:r w:rsidRPr="00C4026F">
        <w:rPr>
          <w:rFonts w:ascii="Palatino Linotype" w:hAnsi="Palatino Linotype"/>
          <w:sz w:val="20"/>
          <w:szCs w:val="20"/>
        </w:rPr>
        <w:t>Charkhabi</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Abarghuei</w:t>
      </w:r>
      <w:proofErr w:type="spellEnd"/>
      <w:r w:rsidRPr="00C4026F">
        <w:rPr>
          <w:rFonts w:ascii="Palatino Linotype" w:hAnsi="Palatino Linotype"/>
          <w:sz w:val="20"/>
          <w:szCs w:val="20"/>
        </w:rPr>
        <w:t xml:space="preserve"> ve Hayati, 2013) ise akademik tükenmişliği etkileyen bağlamsal faktörlerden bazılarıdır. Akademik tükenmişlik üzerinde belirleyici rol oynayan; öğretmen sosyal desteği, öğrenme durumlarının niteliği ve sınıf ikilimi gibi bağlamsal faktörler sınıf ortamını oluşturan bileşenler arasında bulunmaktadır (</w:t>
      </w:r>
      <w:proofErr w:type="spellStart"/>
      <w:r w:rsidRPr="00C4026F">
        <w:rPr>
          <w:rFonts w:ascii="Palatino Linotype" w:hAnsi="Palatino Linotype"/>
          <w:sz w:val="20"/>
          <w:szCs w:val="20"/>
        </w:rPr>
        <w:t>Banks</w:t>
      </w:r>
      <w:proofErr w:type="spellEnd"/>
      <w:r w:rsidRPr="00C4026F">
        <w:rPr>
          <w:rFonts w:ascii="Palatino Linotype" w:hAnsi="Palatino Linotype"/>
          <w:sz w:val="20"/>
          <w:szCs w:val="20"/>
        </w:rPr>
        <w:t>, 2012). Buna göre, sınıf ortamının ve bu ortamı oluşturan bileşenlerin akademik tükenmişliği etkilediği söylene</w:t>
      </w:r>
      <w:r w:rsidR="00E26FFE" w:rsidRPr="00C4026F">
        <w:rPr>
          <w:rFonts w:ascii="Palatino Linotype" w:hAnsi="Palatino Linotype"/>
          <w:sz w:val="20"/>
          <w:szCs w:val="20"/>
        </w:rPr>
        <w:t>bilir. Sınıf ortamını</w:t>
      </w:r>
      <w:r w:rsidRPr="00C4026F">
        <w:rPr>
          <w:rFonts w:ascii="Palatino Linotype" w:hAnsi="Palatino Linotype"/>
          <w:sz w:val="20"/>
          <w:szCs w:val="20"/>
        </w:rPr>
        <w:t xml:space="preserve"> oluşturan en önemli bileşenlerden biri de sınıftaki değerlendirme atmosferidir (</w:t>
      </w:r>
      <w:proofErr w:type="spellStart"/>
      <w:r w:rsidRPr="00C4026F">
        <w:rPr>
          <w:rFonts w:ascii="Palatino Linotype" w:hAnsi="Palatino Linotype"/>
          <w:sz w:val="20"/>
          <w:szCs w:val="20"/>
        </w:rPr>
        <w:t>Banks</w:t>
      </w:r>
      <w:proofErr w:type="spellEnd"/>
      <w:r w:rsidRPr="00C4026F">
        <w:rPr>
          <w:rFonts w:ascii="Palatino Linotype" w:hAnsi="Palatino Linotype"/>
          <w:sz w:val="20"/>
          <w:szCs w:val="20"/>
        </w:rPr>
        <w:t xml:space="preserve">, 2012; </w:t>
      </w:r>
      <w:proofErr w:type="spellStart"/>
      <w:r w:rsidRPr="00C4026F">
        <w:rPr>
          <w:rFonts w:ascii="Palatino Linotype" w:hAnsi="Palatino Linotype"/>
          <w:sz w:val="20"/>
          <w:szCs w:val="20"/>
        </w:rPr>
        <w:t>Brookhart</w:t>
      </w:r>
      <w:proofErr w:type="spellEnd"/>
      <w:r w:rsidRPr="00C4026F">
        <w:rPr>
          <w:rFonts w:ascii="Palatino Linotype" w:hAnsi="Palatino Linotype"/>
          <w:sz w:val="20"/>
          <w:szCs w:val="20"/>
        </w:rPr>
        <w:t xml:space="preserve"> ve DeVoge, 1999). </w:t>
      </w:r>
    </w:p>
    <w:p w:rsidR="009E449B" w:rsidRPr="00C4026F" w:rsidRDefault="009E449B" w:rsidP="008575F6">
      <w:pPr>
        <w:spacing w:after="0" w:line="240" w:lineRule="auto"/>
        <w:ind w:firstLine="709"/>
        <w:jc w:val="both"/>
        <w:rPr>
          <w:rFonts w:ascii="Palatino Linotype" w:hAnsi="Palatino Linotype"/>
          <w:b/>
          <w:i/>
          <w:sz w:val="20"/>
          <w:szCs w:val="20"/>
        </w:rPr>
      </w:pPr>
      <w:r w:rsidRPr="00C4026F">
        <w:rPr>
          <w:rFonts w:ascii="Palatino Linotype" w:hAnsi="Palatino Linotype"/>
          <w:b/>
          <w:i/>
          <w:sz w:val="20"/>
          <w:szCs w:val="20"/>
        </w:rPr>
        <w:t>Sınıf Değerlendirme Atmosferi</w:t>
      </w:r>
    </w:p>
    <w:p w:rsidR="009E449B" w:rsidRPr="00C4026F" w:rsidRDefault="009E449B" w:rsidP="008575F6">
      <w:pPr>
        <w:spacing w:after="120" w:line="240" w:lineRule="auto"/>
        <w:ind w:firstLine="708"/>
        <w:jc w:val="both"/>
        <w:rPr>
          <w:rFonts w:ascii="Palatino Linotype" w:hAnsi="Palatino Linotype"/>
          <w:sz w:val="20"/>
          <w:szCs w:val="20"/>
        </w:rPr>
      </w:pPr>
      <w:proofErr w:type="spellStart"/>
      <w:r w:rsidRPr="00C4026F">
        <w:rPr>
          <w:rFonts w:ascii="Palatino Linotype" w:hAnsi="Palatino Linotype"/>
          <w:sz w:val="20"/>
          <w:szCs w:val="20"/>
        </w:rPr>
        <w:t>Brookhart</w:t>
      </w:r>
      <w:proofErr w:type="spellEnd"/>
      <w:r w:rsidRPr="00C4026F">
        <w:rPr>
          <w:rFonts w:ascii="Palatino Linotype" w:hAnsi="Palatino Linotype"/>
          <w:sz w:val="20"/>
          <w:szCs w:val="20"/>
        </w:rPr>
        <w:t xml:space="preserve"> (1997) sınıf değerlendirme atmosferini; öğretmen tarafından belirlenen değerlendirme amaçlarının, değerlendirme görevlerinin, değerlendirmede kullanılan performans ölçütlerinin ve sunulan geri bildirimlerin sınıf çevresine ilişkin öğrencilerde oluşturduğu algı şeklinde ifade etmektedir (</w:t>
      </w:r>
      <w:proofErr w:type="spellStart"/>
      <w:r w:rsidRPr="00C4026F">
        <w:rPr>
          <w:rFonts w:ascii="Palatino Linotype" w:hAnsi="Palatino Linotype"/>
          <w:sz w:val="20"/>
          <w:szCs w:val="20"/>
        </w:rPr>
        <w:t>Akt</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Alkharusi</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Aldhafri</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Alnabhani</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Alkalbani</w:t>
      </w:r>
      <w:proofErr w:type="spellEnd"/>
      <w:r w:rsidRPr="00C4026F">
        <w:rPr>
          <w:rFonts w:ascii="Palatino Linotype" w:hAnsi="Palatino Linotype"/>
          <w:sz w:val="20"/>
          <w:szCs w:val="20"/>
        </w:rPr>
        <w:t>, 2013). Bir başka deyişle, öğrencilerin sınıftaki değerlendirme uygulamaları hakkında sahip oldukları algılar sınıf değerlendirme atmosferini oluşturmaktadır (</w:t>
      </w:r>
      <w:proofErr w:type="spellStart"/>
      <w:r w:rsidRPr="00C4026F">
        <w:rPr>
          <w:rFonts w:ascii="Palatino Linotype" w:hAnsi="Palatino Linotype"/>
          <w:sz w:val="20"/>
          <w:szCs w:val="20"/>
        </w:rPr>
        <w:t>Brookhart</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DeVoge</w:t>
      </w:r>
      <w:proofErr w:type="spellEnd"/>
      <w:r w:rsidRPr="00C4026F">
        <w:rPr>
          <w:rFonts w:ascii="Palatino Linotype" w:hAnsi="Palatino Linotype"/>
          <w:sz w:val="20"/>
          <w:szCs w:val="20"/>
        </w:rPr>
        <w:t>, 1999). Öğrencilerin sınıf değerlendirme atmosferine yönelik algıları, öğrenme odaklı değerlendirme atmosferi (ÖODA) ve performans (ürün) odaklı değerlendirme atmosferi (PODA) olmak üzere iki başlıkta incelenmektedir (Alkharusi, 2011). Değerlendirme ile ilgili görevlerin orta güçlükte olduğu, değerlendirme ölçütlerinin açık bir biçimde tanımlandığı, öğrencilerin sınıftaki arkadaşlarına göre nasıl bir performans sergilediğinden çok (sosyal karşılaştırmalar); bireysel gelişim ve ilerlemelerinin ön planda tutulduğu, öğrencilere eksikliklerini görebileceği ve bu eksikleri nasıl giderebileceğine dair geri bildirimlerin sunulduğu, üründen çok öğrenmeye ilişkin çabaların vurgulandığı, hatanın öğrenme sürecinin doğal bir parçası olarak görüldüğü ve öğrencilere hatalarını düzeltme şansının verildiği değerlendirme ortamları öğrencide öğrenme odaklı değerlendirme algısı oluşturmaktadır. Diğer taraftan, değerlendirme ile ilgili görevlerin öğrenciler için zor olduğu, öğrenmeden çok sınav notlarının ön planda tutulduğu, ortaya konulan çaba yerine yeteneğin vurgulandığı, başarı ölçütü olarak sosyal karşılaştırmaların esas alındığı değerlendirme ortamları öğrencide performans odaklı değerlendirme algısının oluşmasına neden olmaktadır (Alkharusi, 2010). Öğrencilerin sınıf değerlendirme atmosferine yönelik öğrenme ve performans odaklı algılarının ne düzeyde olduğu; öz yeterlilik inançlarını, başarı yönelimlerini ve akademik performanslarını etkilemektedir (</w:t>
      </w:r>
      <w:proofErr w:type="spellStart"/>
      <w:r w:rsidRPr="00C4026F">
        <w:rPr>
          <w:rFonts w:ascii="Palatino Linotype" w:hAnsi="Palatino Linotype"/>
          <w:sz w:val="20"/>
          <w:szCs w:val="20"/>
        </w:rPr>
        <w:t>Alkharusi</w:t>
      </w:r>
      <w:proofErr w:type="spellEnd"/>
      <w:r w:rsidRPr="00C4026F">
        <w:rPr>
          <w:rFonts w:ascii="Palatino Linotype" w:hAnsi="Palatino Linotype"/>
          <w:sz w:val="20"/>
          <w:szCs w:val="20"/>
        </w:rPr>
        <w:t xml:space="preserve">, 2008; </w:t>
      </w:r>
      <w:proofErr w:type="spellStart"/>
      <w:r w:rsidRPr="00C4026F">
        <w:rPr>
          <w:rFonts w:ascii="Palatino Linotype" w:hAnsi="Palatino Linotype"/>
          <w:sz w:val="20"/>
          <w:szCs w:val="20"/>
        </w:rPr>
        <w:t>Brookhart</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Walsh</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Zientarski</w:t>
      </w:r>
      <w:proofErr w:type="spellEnd"/>
      <w:r w:rsidRPr="00C4026F">
        <w:rPr>
          <w:rFonts w:ascii="Palatino Linotype" w:hAnsi="Palatino Linotype"/>
          <w:sz w:val="20"/>
          <w:szCs w:val="20"/>
        </w:rPr>
        <w:t xml:space="preserve">, 2006). Örneğin; öğrencinin sınıf değerlendirme atmosferine yönelik performans odaklı algısının yüksek olması, öz yeterlilik inancının düşmesine sebep olurken; öğrenme odaklı algısının yüksek olması, öz yeterlilik inancının da yükselmesini sağlamaktadır (Alkharusi, 2009). </w:t>
      </w:r>
    </w:p>
    <w:p w:rsidR="003870C1" w:rsidRDefault="003870C1">
      <w:pPr>
        <w:rPr>
          <w:rFonts w:ascii="Palatino Linotype" w:hAnsi="Palatino Linotype"/>
          <w:b/>
          <w:i/>
          <w:sz w:val="20"/>
          <w:szCs w:val="20"/>
        </w:rPr>
      </w:pPr>
      <w:r>
        <w:rPr>
          <w:rFonts w:ascii="Palatino Linotype" w:hAnsi="Palatino Linotype"/>
          <w:b/>
          <w:i/>
          <w:sz w:val="20"/>
          <w:szCs w:val="20"/>
        </w:rPr>
        <w:br w:type="page"/>
      </w:r>
    </w:p>
    <w:p w:rsidR="009E449B" w:rsidRPr="00C4026F" w:rsidRDefault="009E449B" w:rsidP="008575F6">
      <w:pPr>
        <w:spacing w:after="0" w:line="240" w:lineRule="auto"/>
        <w:ind w:firstLine="709"/>
        <w:jc w:val="both"/>
        <w:rPr>
          <w:rFonts w:ascii="Palatino Linotype" w:hAnsi="Palatino Linotype"/>
          <w:b/>
          <w:i/>
          <w:sz w:val="20"/>
          <w:szCs w:val="20"/>
        </w:rPr>
      </w:pPr>
      <w:r w:rsidRPr="00C4026F">
        <w:rPr>
          <w:rFonts w:ascii="Palatino Linotype" w:hAnsi="Palatino Linotype"/>
          <w:b/>
          <w:i/>
          <w:sz w:val="20"/>
          <w:szCs w:val="20"/>
        </w:rPr>
        <w:lastRenderedPageBreak/>
        <w:t xml:space="preserve">Akademik Tükenmişlik ile Sınıf Değerlendirme Atmosferi Arasındaki İlişki </w:t>
      </w:r>
    </w:p>
    <w:p w:rsidR="009E449B" w:rsidRPr="00C4026F" w:rsidRDefault="009E449B" w:rsidP="008575F6">
      <w:pPr>
        <w:spacing w:after="120" w:line="240" w:lineRule="auto"/>
        <w:ind w:firstLine="708"/>
        <w:jc w:val="both"/>
        <w:rPr>
          <w:rFonts w:ascii="Palatino Linotype" w:hAnsi="Palatino Linotype"/>
          <w:sz w:val="20"/>
          <w:szCs w:val="20"/>
        </w:rPr>
      </w:pPr>
      <w:r w:rsidRPr="00C4026F">
        <w:rPr>
          <w:rFonts w:ascii="Palatino Linotype" w:hAnsi="Palatino Linotype"/>
          <w:sz w:val="20"/>
          <w:szCs w:val="20"/>
        </w:rPr>
        <w:t>Akademik tükenmişlik, öğrencilerin öğrenme sürecinde öğretmenler ve diğer öğrenciler ile kurduğu ilişkiler başta olmak üzere birçok öğrenci davranışı üzerinde etkili rol oynamaktadır (</w:t>
      </w:r>
      <w:proofErr w:type="spellStart"/>
      <w:r w:rsidRPr="00C4026F">
        <w:rPr>
          <w:rFonts w:ascii="Palatino Linotype" w:hAnsi="Palatino Linotype"/>
          <w:sz w:val="20"/>
          <w:szCs w:val="20"/>
        </w:rPr>
        <w:t>Neumann</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Finaly-Neuman</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Reichel</w:t>
      </w:r>
      <w:proofErr w:type="spellEnd"/>
      <w:r w:rsidRPr="00C4026F">
        <w:rPr>
          <w:rFonts w:ascii="Palatino Linotype" w:hAnsi="Palatino Linotype"/>
          <w:sz w:val="20"/>
          <w:szCs w:val="20"/>
        </w:rPr>
        <w:t>, 1990). Dolayısıyla; öğrencilere bilişsel ve duyusal açıdan istendik davranışların kazandırılabilmesi akademik tükenmişliğin önlenmesi ile yakından ilgilidir. Öğrenci tükenmişliğinin önlenmesi büyük ölçüde akademik tükenmişliğin kaynaklarının ve pekiştiricilerinin belirlenmesine bağlıdır (</w:t>
      </w:r>
      <w:proofErr w:type="spellStart"/>
      <w:r w:rsidRPr="00C4026F">
        <w:rPr>
          <w:rFonts w:ascii="Palatino Linotype" w:hAnsi="Palatino Linotype"/>
          <w:sz w:val="20"/>
          <w:szCs w:val="20"/>
        </w:rPr>
        <w:t>Grayson</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Alvarez</w:t>
      </w:r>
      <w:proofErr w:type="spellEnd"/>
      <w:r w:rsidRPr="00C4026F">
        <w:rPr>
          <w:rFonts w:ascii="Palatino Linotype" w:hAnsi="Palatino Linotype"/>
          <w:sz w:val="20"/>
          <w:szCs w:val="20"/>
        </w:rPr>
        <w:t>, 2008). Bu durum “Akademik tükenmişliğin yordanmasına katkıda bulunan değişkenler nelerdir” sorusunu akademik tükenmişlik ile ilgili araştırmalarda yanıt aranan temel problemlerden biri haline getirmiştir (</w:t>
      </w:r>
      <w:proofErr w:type="spellStart"/>
      <w:r w:rsidRPr="00C4026F">
        <w:rPr>
          <w:rFonts w:ascii="Palatino Linotype" w:hAnsi="Palatino Linotype"/>
          <w:sz w:val="20"/>
          <w:szCs w:val="20"/>
        </w:rPr>
        <w:t>Charkhabi</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Abarghuei</w:t>
      </w:r>
      <w:proofErr w:type="spellEnd"/>
      <w:r w:rsidRPr="00C4026F">
        <w:rPr>
          <w:rFonts w:ascii="Palatino Linotype" w:hAnsi="Palatino Linotype"/>
          <w:sz w:val="20"/>
          <w:szCs w:val="20"/>
        </w:rPr>
        <w:t xml:space="preserve"> ve Hayati, 2013 ). </w:t>
      </w:r>
      <w:proofErr w:type="spellStart"/>
      <w:r w:rsidRPr="00C4026F">
        <w:rPr>
          <w:rFonts w:ascii="Palatino Linotype" w:hAnsi="Palatino Linotype"/>
          <w:sz w:val="20"/>
          <w:szCs w:val="20"/>
        </w:rPr>
        <w:t>Grayson</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Alvarez</w:t>
      </w:r>
      <w:proofErr w:type="spellEnd"/>
      <w:r w:rsidRPr="00C4026F">
        <w:rPr>
          <w:rFonts w:ascii="Palatino Linotype" w:hAnsi="Palatino Linotype"/>
          <w:sz w:val="20"/>
          <w:szCs w:val="20"/>
        </w:rPr>
        <w:t xml:space="preserve"> (2008) bu soruya yanıt ararken cinsiyet, ailenin geliri ve ebeveynlerin eğitim düzeyi gibi değiştirilmesi mümkün olmayan ya da zor olan demografik değişkenler yerine; öğretmen sosyal desteği ve okul iklimi gibi değiştirilmesi ve kontrol altına alınması daha olası değişkenler üzerinde çalışılmasını önermektedir. Buna göre, okul kültürü ve sınıf ortamı gibi bağlamsal faktörler ile akademik tükenmişlik arasındaki ilişkilerin inceleneceği araştırmaların öğrenci tükenmişliğini önlemeye yönelik çalışmalara rehberlik etmesi beklenmektedir. Akademik tükenmişliğin sınıf ortamından etkilenmeye açık doğası (</w:t>
      </w:r>
      <w:proofErr w:type="spellStart"/>
      <w:r w:rsidRPr="00C4026F">
        <w:rPr>
          <w:rFonts w:ascii="Palatino Linotype" w:hAnsi="Palatino Linotype"/>
          <w:sz w:val="20"/>
          <w:szCs w:val="20"/>
        </w:rPr>
        <w:t>Adie</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Wakefield</w:t>
      </w:r>
      <w:proofErr w:type="spellEnd"/>
      <w:r w:rsidRPr="00C4026F">
        <w:rPr>
          <w:rFonts w:ascii="Palatino Linotype" w:hAnsi="Palatino Linotype"/>
          <w:sz w:val="20"/>
          <w:szCs w:val="20"/>
        </w:rPr>
        <w:t xml:space="preserve">, 2011; </w:t>
      </w:r>
      <w:proofErr w:type="spellStart"/>
      <w:r w:rsidRPr="00C4026F">
        <w:rPr>
          <w:rFonts w:ascii="Palatino Linotype" w:hAnsi="Palatino Linotype"/>
          <w:sz w:val="20"/>
          <w:szCs w:val="20"/>
        </w:rPr>
        <w:t>Valickienea</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Zukauskienea</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Saule</w:t>
      </w:r>
      <w:proofErr w:type="spellEnd"/>
      <w:r w:rsidRPr="00C4026F">
        <w:rPr>
          <w:rFonts w:ascii="Palatino Linotype" w:hAnsi="Palatino Linotype"/>
          <w:sz w:val="20"/>
          <w:szCs w:val="20"/>
        </w:rPr>
        <w:t>, 2011) ve sınıf ortamını oluşturan temel bileşenlerden birinin sınıftaki değerlendirme atmosferi olduğu (</w:t>
      </w:r>
      <w:proofErr w:type="spellStart"/>
      <w:r w:rsidRPr="00C4026F">
        <w:rPr>
          <w:rFonts w:ascii="Palatino Linotype" w:hAnsi="Palatino Linotype"/>
          <w:sz w:val="20"/>
          <w:szCs w:val="20"/>
        </w:rPr>
        <w:t>Banks</w:t>
      </w:r>
      <w:proofErr w:type="spellEnd"/>
      <w:r w:rsidRPr="00C4026F">
        <w:rPr>
          <w:rFonts w:ascii="Palatino Linotype" w:hAnsi="Palatino Linotype"/>
          <w:sz w:val="20"/>
          <w:szCs w:val="20"/>
        </w:rPr>
        <w:t xml:space="preserve">, 2012) dikkate alındığında, öğrenci tükenmişliği ve sınıf değerlendirme atmosferinin birbiri ile ilişkili yapılar olduğu düşünülmektedir. Bununla birlikte, </w:t>
      </w:r>
      <w:proofErr w:type="gramStart"/>
      <w:r w:rsidRPr="00C4026F">
        <w:rPr>
          <w:rFonts w:ascii="Palatino Linotype" w:hAnsi="Palatino Linotype"/>
          <w:sz w:val="20"/>
          <w:szCs w:val="20"/>
        </w:rPr>
        <w:t>literatürde</w:t>
      </w:r>
      <w:proofErr w:type="gramEnd"/>
      <w:r w:rsidRPr="00C4026F">
        <w:rPr>
          <w:rFonts w:ascii="Palatino Linotype" w:hAnsi="Palatino Linotype"/>
          <w:sz w:val="20"/>
          <w:szCs w:val="20"/>
        </w:rPr>
        <w:t xml:space="preserve"> akademik tükenmişlik ve sınıf değerlendirme atmosferi arasında nasıl bir ilişki olduğunu ortaya koyan bir araştırmaya rastlanmamıştır. Akademik tükenmişlik; depresyon (</w:t>
      </w:r>
      <w:proofErr w:type="spellStart"/>
      <w:r w:rsidRPr="00C4026F">
        <w:rPr>
          <w:rFonts w:ascii="Palatino Linotype" w:hAnsi="Palatino Linotype"/>
          <w:sz w:val="20"/>
          <w:szCs w:val="20"/>
        </w:rPr>
        <w:t>Çapri</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Yedigöz</w:t>
      </w:r>
      <w:proofErr w:type="spellEnd"/>
      <w:r w:rsidRPr="00C4026F">
        <w:rPr>
          <w:rFonts w:ascii="Palatino Linotype" w:hAnsi="Palatino Linotype"/>
          <w:sz w:val="20"/>
          <w:szCs w:val="20"/>
        </w:rPr>
        <w:t xml:space="preserve"> Sönmez, 2013), </w:t>
      </w:r>
      <w:proofErr w:type="gramStart"/>
      <w:r w:rsidRPr="00C4026F">
        <w:rPr>
          <w:rFonts w:ascii="Palatino Linotype" w:hAnsi="Palatino Linotype"/>
          <w:sz w:val="20"/>
          <w:szCs w:val="20"/>
        </w:rPr>
        <w:t>motivasyon</w:t>
      </w:r>
      <w:proofErr w:type="gramEnd"/>
      <w:r w:rsidRPr="00C4026F">
        <w:rPr>
          <w:rFonts w:ascii="Palatino Linotype" w:hAnsi="Palatino Linotype"/>
          <w:sz w:val="20"/>
          <w:szCs w:val="20"/>
        </w:rPr>
        <w:t xml:space="preserve"> eksikliği, devamsızlık davranışında artış, okulu bırakma (</w:t>
      </w:r>
      <w:proofErr w:type="spellStart"/>
      <w:r w:rsidRPr="00C4026F">
        <w:rPr>
          <w:rFonts w:ascii="Palatino Linotype" w:hAnsi="Palatino Linotype"/>
          <w:sz w:val="20"/>
          <w:szCs w:val="20"/>
        </w:rPr>
        <w:t>Meier</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Schmeck</w:t>
      </w:r>
      <w:proofErr w:type="spellEnd"/>
      <w:r w:rsidRPr="00C4026F">
        <w:rPr>
          <w:rFonts w:ascii="Palatino Linotype" w:hAnsi="Palatino Linotype"/>
          <w:sz w:val="20"/>
          <w:szCs w:val="20"/>
        </w:rPr>
        <w:t xml:space="preserve">, 1985; </w:t>
      </w:r>
      <w:proofErr w:type="spellStart"/>
      <w:r w:rsidRPr="00C4026F">
        <w:rPr>
          <w:rFonts w:ascii="Palatino Linotype" w:hAnsi="Palatino Linotype"/>
          <w:sz w:val="20"/>
          <w:szCs w:val="20"/>
        </w:rPr>
        <w:t>Yang</w:t>
      </w:r>
      <w:proofErr w:type="spellEnd"/>
      <w:r w:rsidRPr="00C4026F">
        <w:rPr>
          <w:rFonts w:ascii="Palatino Linotype" w:hAnsi="Palatino Linotype"/>
          <w:sz w:val="20"/>
          <w:szCs w:val="20"/>
        </w:rPr>
        <w:t>, 2004) ve akademik başarının düşmesi (</w:t>
      </w:r>
      <w:proofErr w:type="spellStart"/>
      <w:r w:rsidRPr="00C4026F">
        <w:rPr>
          <w:rFonts w:ascii="Palatino Linotype" w:hAnsi="Palatino Linotype"/>
          <w:sz w:val="20"/>
          <w:szCs w:val="20"/>
        </w:rPr>
        <w:t>Balkıs</w:t>
      </w:r>
      <w:proofErr w:type="spellEnd"/>
      <w:r w:rsidRPr="00C4026F">
        <w:rPr>
          <w:rFonts w:ascii="Palatino Linotype" w:hAnsi="Palatino Linotype"/>
          <w:sz w:val="20"/>
          <w:szCs w:val="20"/>
        </w:rPr>
        <w:t xml:space="preserve">, 2013; </w:t>
      </w:r>
      <w:proofErr w:type="spellStart"/>
      <w:r w:rsidRPr="00C4026F">
        <w:rPr>
          <w:rFonts w:ascii="Palatino Linotype" w:hAnsi="Palatino Linotype"/>
          <w:sz w:val="20"/>
          <w:szCs w:val="20"/>
        </w:rPr>
        <w:t>Balogun</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Hoeberlein</w:t>
      </w:r>
      <w:proofErr w:type="spellEnd"/>
      <w:r w:rsidRPr="00C4026F">
        <w:rPr>
          <w:rFonts w:ascii="Palatino Linotype" w:hAnsi="Palatino Linotype"/>
          <w:sz w:val="20"/>
          <w:szCs w:val="20"/>
        </w:rPr>
        <w:t xml:space="preserve">, </w:t>
      </w:r>
      <w:proofErr w:type="spellStart"/>
      <w:r w:rsidRPr="00C4026F">
        <w:rPr>
          <w:rFonts w:ascii="Palatino Linotype" w:hAnsi="Palatino Linotype"/>
          <w:sz w:val="20"/>
          <w:szCs w:val="20"/>
        </w:rPr>
        <w:t>Schneider</w:t>
      </w:r>
      <w:proofErr w:type="spellEnd"/>
      <w:r w:rsidRPr="00C4026F">
        <w:rPr>
          <w:rFonts w:ascii="Palatino Linotype" w:hAnsi="Palatino Linotype"/>
          <w:sz w:val="20"/>
          <w:szCs w:val="20"/>
        </w:rPr>
        <w:t xml:space="preserve"> ve </w:t>
      </w:r>
      <w:proofErr w:type="spellStart"/>
      <w:r w:rsidRPr="00C4026F">
        <w:rPr>
          <w:rFonts w:ascii="Palatino Linotype" w:hAnsi="Palatino Linotype"/>
          <w:sz w:val="20"/>
          <w:szCs w:val="20"/>
        </w:rPr>
        <w:t>Katz</w:t>
      </w:r>
      <w:proofErr w:type="spellEnd"/>
      <w:r w:rsidRPr="00C4026F">
        <w:rPr>
          <w:rFonts w:ascii="Palatino Linotype" w:hAnsi="Palatino Linotype"/>
          <w:sz w:val="20"/>
          <w:szCs w:val="20"/>
        </w:rPr>
        <w:t xml:space="preserve">, 1996) gibi birçok olumsuz özelliği beraberinde getirdiğinden, akademik tükenmişliği tetikleyen ya da akademik tükenmişliğin düşmesine katkıda bulunan değerlendirme uygulamalarının tespit edilmesi hem öğrenci sağlığı hem de eğitim sisteminin işlevselliği açısından büyük öneme sahiptir (Aypay ve Eryılmaz, 2011). Akademik tükenmişlik ve sınıf değerlendirme atmosferi arasındaki ilişkinin incelenmesiyle; öğrencilerin yaşadığı tükenmişliği azaltmak için nasıl bir değerlendirme atmosferinin oluşturulması gerektiği belirlenebilir. Bu bağlamda, akademik tükenmişlik ve sınıf değerlendirme atmosferi arasındaki ilişkinin incelendiği bir çalışmanın </w:t>
      </w:r>
      <w:proofErr w:type="gramStart"/>
      <w:r w:rsidRPr="00C4026F">
        <w:rPr>
          <w:rFonts w:ascii="Palatino Linotype" w:hAnsi="Palatino Linotype"/>
          <w:sz w:val="20"/>
          <w:szCs w:val="20"/>
        </w:rPr>
        <w:t>literatüre</w:t>
      </w:r>
      <w:proofErr w:type="gramEnd"/>
      <w:r w:rsidRPr="00C4026F">
        <w:rPr>
          <w:rFonts w:ascii="Palatino Linotype" w:hAnsi="Palatino Linotype"/>
          <w:sz w:val="20"/>
          <w:szCs w:val="20"/>
        </w:rPr>
        <w:t xml:space="preserve"> kazandırılması önem arz etmektedir.</w:t>
      </w:r>
    </w:p>
    <w:p w:rsidR="009E449B" w:rsidRPr="00C4026F" w:rsidRDefault="009E449B" w:rsidP="008575F6">
      <w:pPr>
        <w:spacing w:after="0" w:line="240" w:lineRule="auto"/>
        <w:ind w:left="709"/>
        <w:rPr>
          <w:rFonts w:ascii="Palatino Linotype" w:hAnsi="Palatino Linotype" w:cs="Times New Roman"/>
          <w:b/>
          <w:i/>
          <w:sz w:val="20"/>
          <w:szCs w:val="20"/>
        </w:rPr>
      </w:pPr>
      <w:r w:rsidRPr="00C4026F">
        <w:rPr>
          <w:rFonts w:ascii="Palatino Linotype" w:hAnsi="Palatino Linotype" w:cs="Times New Roman"/>
          <w:b/>
          <w:i/>
          <w:sz w:val="20"/>
          <w:szCs w:val="20"/>
        </w:rPr>
        <w:t>Araştırmanın Amacı</w:t>
      </w:r>
    </w:p>
    <w:p w:rsidR="009E449B" w:rsidRPr="00C4026F" w:rsidRDefault="009E449B" w:rsidP="008575F6">
      <w:pPr>
        <w:spacing w:after="0" w:line="240" w:lineRule="auto"/>
        <w:ind w:firstLine="709"/>
        <w:jc w:val="both"/>
        <w:rPr>
          <w:rFonts w:ascii="Palatino Linotype" w:hAnsi="Palatino Linotype" w:cs="Times New Roman"/>
          <w:color w:val="FF0000"/>
          <w:sz w:val="20"/>
          <w:szCs w:val="20"/>
        </w:rPr>
      </w:pPr>
      <w:r w:rsidRPr="00C4026F">
        <w:rPr>
          <w:rFonts w:ascii="Palatino Linotype" w:hAnsi="Palatino Linotype" w:cs="Times New Roman"/>
          <w:sz w:val="20"/>
          <w:szCs w:val="20"/>
        </w:rPr>
        <w:t xml:space="preserve">Bu araştırmada akademik tükenmişlik ile sınıf değerlendirme atmosferi arasındaki ilişkinin incelenmesi amaçlanmaktadır. Bu amaç doğrultusunda; araştırmada aşağıdaki hipotez test edilmiştir. </w:t>
      </w:r>
    </w:p>
    <w:p w:rsidR="009E449B" w:rsidRPr="00C4026F" w:rsidRDefault="009E449B" w:rsidP="008575F6">
      <w:pPr>
        <w:pStyle w:val="ListeParagraf"/>
        <w:numPr>
          <w:ilvl w:val="0"/>
          <w:numId w:val="1"/>
        </w:numPr>
        <w:spacing w:before="120" w:after="0" w:line="240" w:lineRule="auto"/>
        <w:ind w:left="714" w:hanging="357"/>
        <w:contextualSpacing w:val="0"/>
        <w:jc w:val="both"/>
        <w:rPr>
          <w:rFonts w:ascii="Palatino Linotype" w:hAnsi="Palatino Linotype" w:cs="Times New Roman"/>
          <w:b/>
          <w:sz w:val="20"/>
          <w:szCs w:val="20"/>
        </w:rPr>
      </w:pPr>
      <w:r w:rsidRPr="00C4026F">
        <w:rPr>
          <w:rFonts w:ascii="Palatino Linotype" w:hAnsi="Palatino Linotype" w:cs="Times New Roman"/>
          <w:sz w:val="20"/>
          <w:szCs w:val="20"/>
        </w:rPr>
        <w:t xml:space="preserve">Öğrencilerin akademik tükenmişlik düzeyleri sınıf değerlendirme atmosferine yönelik algılarına göre farklılaşmaktadır. </w:t>
      </w:r>
    </w:p>
    <w:p w:rsidR="003870C1" w:rsidRDefault="003870C1">
      <w:pPr>
        <w:rPr>
          <w:rFonts w:ascii="Palatino Linotype" w:hAnsi="Palatino Linotype"/>
          <w:b/>
        </w:rPr>
      </w:pPr>
      <w:r>
        <w:rPr>
          <w:rFonts w:ascii="Palatino Linotype" w:hAnsi="Palatino Linotype"/>
          <w:b/>
        </w:rPr>
        <w:br w:type="page"/>
      </w:r>
    </w:p>
    <w:p w:rsidR="005E6912" w:rsidRPr="00C4026F" w:rsidRDefault="005E6912" w:rsidP="008575F6">
      <w:pPr>
        <w:spacing w:before="120" w:after="120" w:line="240" w:lineRule="auto"/>
        <w:jc w:val="center"/>
        <w:rPr>
          <w:rFonts w:ascii="Palatino Linotype" w:hAnsi="Palatino Linotype"/>
          <w:b/>
        </w:rPr>
      </w:pPr>
      <w:r w:rsidRPr="00C4026F">
        <w:rPr>
          <w:rFonts w:ascii="Palatino Linotype" w:hAnsi="Palatino Linotype"/>
          <w:b/>
        </w:rPr>
        <w:lastRenderedPageBreak/>
        <w:t>Yöntem</w:t>
      </w:r>
    </w:p>
    <w:p w:rsidR="009E449B" w:rsidRPr="00C4026F" w:rsidRDefault="009E449B" w:rsidP="008575F6">
      <w:pPr>
        <w:spacing w:after="0" w:line="240" w:lineRule="auto"/>
        <w:ind w:firstLine="709"/>
        <w:jc w:val="both"/>
        <w:rPr>
          <w:rFonts w:ascii="Palatino Linotype" w:hAnsi="Palatino Linotype"/>
          <w:b/>
          <w:i/>
          <w:sz w:val="20"/>
          <w:szCs w:val="20"/>
        </w:rPr>
      </w:pPr>
      <w:r w:rsidRPr="00C4026F">
        <w:rPr>
          <w:rFonts w:ascii="Palatino Linotype" w:hAnsi="Palatino Linotype"/>
          <w:b/>
          <w:i/>
          <w:sz w:val="20"/>
          <w:szCs w:val="20"/>
        </w:rPr>
        <w:t>Araştırma Modeli</w:t>
      </w:r>
    </w:p>
    <w:p w:rsidR="009E449B" w:rsidRPr="00C4026F" w:rsidRDefault="009E449B" w:rsidP="008575F6">
      <w:pPr>
        <w:spacing w:after="120" w:line="240" w:lineRule="auto"/>
        <w:ind w:firstLine="708"/>
        <w:jc w:val="both"/>
        <w:rPr>
          <w:rFonts w:ascii="Palatino Linotype" w:hAnsi="Palatino Linotype"/>
          <w:sz w:val="20"/>
          <w:szCs w:val="20"/>
        </w:rPr>
      </w:pPr>
      <w:r w:rsidRPr="00C4026F">
        <w:rPr>
          <w:rFonts w:ascii="Palatino Linotype" w:hAnsi="Palatino Linotype"/>
          <w:sz w:val="20"/>
          <w:szCs w:val="20"/>
        </w:rPr>
        <w:t xml:space="preserve">Araştırmada </w:t>
      </w:r>
      <w:proofErr w:type="spellStart"/>
      <w:r w:rsidRPr="00C4026F">
        <w:rPr>
          <w:rFonts w:ascii="Palatino Linotype" w:hAnsi="Palatino Linotype"/>
          <w:sz w:val="20"/>
          <w:szCs w:val="20"/>
        </w:rPr>
        <w:t>nedensel</w:t>
      </w:r>
      <w:proofErr w:type="spellEnd"/>
      <w:r w:rsidRPr="00C4026F">
        <w:rPr>
          <w:rFonts w:ascii="Palatino Linotype" w:hAnsi="Palatino Linotype"/>
          <w:sz w:val="20"/>
          <w:szCs w:val="20"/>
        </w:rPr>
        <w:t xml:space="preserve"> karşılaştırma (</w:t>
      </w:r>
      <w:proofErr w:type="spellStart"/>
      <w:r w:rsidRPr="00C4026F">
        <w:rPr>
          <w:rFonts w:ascii="Palatino Linotype" w:hAnsi="Palatino Linotype"/>
          <w:sz w:val="20"/>
          <w:szCs w:val="20"/>
        </w:rPr>
        <w:t>causal-comperative</w:t>
      </w:r>
      <w:proofErr w:type="spellEnd"/>
      <w:r w:rsidRPr="00C4026F">
        <w:rPr>
          <w:rFonts w:ascii="Palatino Linotype" w:hAnsi="Palatino Linotype"/>
          <w:sz w:val="20"/>
          <w:szCs w:val="20"/>
        </w:rPr>
        <w:t xml:space="preserve">) modeli kullanılmıştır. Nedensel karşılaştırma türündeki araştırmalarda, bağımsız değişkene göre gruplar oluşturulmakta ve oluşturulan grupların araştırmaya konu olan bağımlı değişken açısından farklılık gösterip göstermediği test edilmektedir (Balcı, 2009; Büyüköztürk, Kılıç Çakmak, Akgün, Karedeniz ve Demirel, 2010). Bu çalışmada; öğrencilerin akademik tükenmişlik düzeyleri bağımlı değişken; sınıf değerlendirme atmosferine yönelik algıları ise bağımsız değişken olarak alınmıştır. Böylelikle,  öğrencilerin sınıf değerlendirme atmosferine yönelik algılarının akademik tükenmişlik düzeyleri üzerinde etkili bir değişken olup olmadığı sorusuna yanıt olabilecek bir araştırma modeli oluşturulmuştur. </w:t>
      </w:r>
    </w:p>
    <w:p w:rsidR="009E449B" w:rsidRPr="00C4026F" w:rsidRDefault="009E449B" w:rsidP="008575F6">
      <w:pPr>
        <w:spacing w:after="0" w:line="240" w:lineRule="auto"/>
        <w:ind w:firstLine="709"/>
        <w:jc w:val="both"/>
        <w:rPr>
          <w:rFonts w:ascii="Palatino Linotype" w:hAnsi="Palatino Linotype"/>
          <w:b/>
          <w:i/>
          <w:sz w:val="20"/>
          <w:szCs w:val="20"/>
        </w:rPr>
      </w:pPr>
      <w:r w:rsidRPr="00C4026F">
        <w:rPr>
          <w:rFonts w:ascii="Palatino Linotype" w:hAnsi="Palatino Linotype"/>
          <w:b/>
          <w:i/>
          <w:sz w:val="20"/>
          <w:szCs w:val="20"/>
        </w:rPr>
        <w:t>Araştırma Grubu</w:t>
      </w:r>
    </w:p>
    <w:p w:rsidR="009E449B" w:rsidRPr="00C4026F" w:rsidRDefault="009E449B" w:rsidP="008575F6">
      <w:pPr>
        <w:spacing w:after="120" w:line="240" w:lineRule="auto"/>
        <w:ind w:firstLine="708"/>
        <w:jc w:val="both"/>
        <w:rPr>
          <w:rFonts w:ascii="Palatino Linotype" w:hAnsi="Palatino Linotype"/>
          <w:sz w:val="20"/>
          <w:szCs w:val="20"/>
        </w:rPr>
      </w:pPr>
      <w:r w:rsidRPr="00C4026F">
        <w:rPr>
          <w:rFonts w:ascii="Palatino Linotype" w:hAnsi="Palatino Linotype"/>
          <w:sz w:val="20"/>
          <w:szCs w:val="20"/>
        </w:rPr>
        <w:t>Araştırma 2013-2014 Eğitim Öğretim Yılı Bahar Dönemi’nde Batman ve Diyarbakır illerinden toplam 496 lise öğrencisi üzerinde yürütülmüştür. Katılımcıların 259’u (%52.22) Batman’da ve 237’si (%47.78) Diyarbakır’da öğrenim gören lise öğrencileridir. Araştırma grubundaki, öğrencilerin 233’ü (%47) kız ve 263’ü (%53) erkektir. Öğrencilerin 149’u (%</w:t>
      </w:r>
      <w:proofErr w:type="gramStart"/>
      <w:r w:rsidRPr="00C4026F">
        <w:rPr>
          <w:rFonts w:ascii="Palatino Linotype" w:hAnsi="Palatino Linotype"/>
          <w:sz w:val="20"/>
          <w:szCs w:val="20"/>
        </w:rPr>
        <w:t>30.0</w:t>
      </w:r>
      <w:proofErr w:type="gramEnd"/>
      <w:r w:rsidRPr="00C4026F">
        <w:rPr>
          <w:rFonts w:ascii="Palatino Linotype" w:hAnsi="Palatino Linotype"/>
          <w:sz w:val="20"/>
          <w:szCs w:val="20"/>
        </w:rPr>
        <w:t>) 9. sınıfa, 145’i (%29.20) 10. sınıfa ve 202’si (%40.70) 11. sınıfa devam eden öğrencilerdir. Araştırma grubunun belirlenmesinde birçok faktör etkili olmuştur. Öncelikle, ulaşılabilirlik ilkesi göz önüne alınarak, araştırma Batman ve Diyarbakır illerinde yürütülmüştür. Batman ilinden bir Anadolu Lisesi ve bir Anadolu meslek lisesi ile Diyarbakır ilinden iki Anadolu Lisesi olmak üzere toplamda 4 farklı okul araştırmaya dâhil edilmiştir. Araştırma verilerin</w:t>
      </w:r>
      <w:r w:rsidR="00FB4EAB" w:rsidRPr="00C4026F">
        <w:rPr>
          <w:rFonts w:ascii="Palatino Linotype" w:hAnsi="Palatino Linotype"/>
          <w:sz w:val="20"/>
          <w:szCs w:val="20"/>
        </w:rPr>
        <w:t>in</w:t>
      </w:r>
      <w:r w:rsidRPr="00C4026F">
        <w:rPr>
          <w:rFonts w:ascii="Palatino Linotype" w:hAnsi="Palatino Linotype"/>
          <w:sz w:val="20"/>
          <w:szCs w:val="20"/>
        </w:rPr>
        <w:t xml:space="preserve"> toplandığı okulların tamamı devlete bağlı liseleridir. İkinci olarak; araştırma grubunda 9, 10 ve 11. sınıftan öğre</w:t>
      </w:r>
      <w:r w:rsidR="00FB4EAB" w:rsidRPr="00C4026F">
        <w:rPr>
          <w:rFonts w:ascii="Palatino Linotype" w:hAnsi="Palatino Linotype"/>
          <w:sz w:val="20"/>
          <w:szCs w:val="20"/>
        </w:rPr>
        <w:t>nciler yer almıştır. Verilerin</w:t>
      </w:r>
      <w:r w:rsidRPr="00C4026F">
        <w:rPr>
          <w:rFonts w:ascii="Palatino Linotype" w:hAnsi="Palatino Linotype"/>
          <w:sz w:val="20"/>
          <w:szCs w:val="20"/>
        </w:rPr>
        <w:t xml:space="preserve"> toplandığı dönem olan 2014 Mart ayında 12. sınıf öğrencilerinin tamamına yakını Yükseköğretime Geçiş Sınavı’na hazırlanmak için rapor aldığından, bu öğrencilere ulaşmak mümkün olmamıştır. Bu nedenle, araştırma grubunda 12. sınıf öğrencisi bulunmamaktadır. </w:t>
      </w:r>
    </w:p>
    <w:p w:rsidR="009E449B" w:rsidRPr="00C4026F" w:rsidRDefault="009E449B" w:rsidP="008575F6">
      <w:pPr>
        <w:spacing w:after="0" w:line="240" w:lineRule="auto"/>
        <w:ind w:firstLine="709"/>
        <w:jc w:val="both"/>
        <w:rPr>
          <w:rFonts w:ascii="Palatino Linotype" w:hAnsi="Palatino Linotype"/>
          <w:b/>
          <w:i/>
          <w:sz w:val="20"/>
          <w:szCs w:val="20"/>
        </w:rPr>
      </w:pPr>
      <w:r w:rsidRPr="00C4026F">
        <w:rPr>
          <w:rFonts w:ascii="Palatino Linotype" w:hAnsi="Palatino Linotype"/>
          <w:b/>
          <w:i/>
          <w:sz w:val="20"/>
          <w:szCs w:val="20"/>
        </w:rPr>
        <w:t>Veri Toplama Araçları</w:t>
      </w:r>
    </w:p>
    <w:p w:rsidR="009E449B" w:rsidRPr="00C4026F" w:rsidRDefault="009E449B" w:rsidP="008575F6">
      <w:pPr>
        <w:spacing w:after="120" w:line="240" w:lineRule="auto"/>
        <w:ind w:firstLine="708"/>
        <w:jc w:val="both"/>
        <w:rPr>
          <w:rFonts w:ascii="Palatino Linotype" w:hAnsi="Palatino Linotype"/>
          <w:sz w:val="20"/>
          <w:szCs w:val="20"/>
        </w:rPr>
      </w:pPr>
      <w:r w:rsidRPr="00C4026F">
        <w:rPr>
          <w:rFonts w:ascii="Palatino Linotype" w:hAnsi="Palatino Linotype"/>
          <w:sz w:val="20"/>
          <w:szCs w:val="20"/>
        </w:rPr>
        <w:t xml:space="preserve">Araştırmada veri toplama aracı olarak </w:t>
      </w:r>
      <w:proofErr w:type="spellStart"/>
      <w:r w:rsidRPr="00C4026F">
        <w:rPr>
          <w:rFonts w:ascii="Palatino Linotype" w:hAnsi="Palatino Linotype"/>
          <w:sz w:val="20"/>
          <w:szCs w:val="20"/>
        </w:rPr>
        <w:t>Maslach</w:t>
      </w:r>
      <w:proofErr w:type="spellEnd"/>
      <w:r w:rsidRPr="00C4026F">
        <w:rPr>
          <w:rFonts w:ascii="Palatino Linotype" w:hAnsi="Palatino Linotype"/>
          <w:sz w:val="20"/>
          <w:szCs w:val="20"/>
        </w:rPr>
        <w:t xml:space="preserve"> Tükenmişlik Envanteri-Öğrenci Formu (MTE-ÖF) ve Sınıf Değerlendirme Atmosferi Ölçeği (SDAÖ) kullanılmıştır. </w:t>
      </w:r>
    </w:p>
    <w:p w:rsidR="009E449B" w:rsidRPr="00C4026F" w:rsidRDefault="009E449B" w:rsidP="008575F6">
      <w:pPr>
        <w:spacing w:after="0" w:line="240" w:lineRule="auto"/>
        <w:ind w:firstLine="709"/>
        <w:jc w:val="both"/>
        <w:rPr>
          <w:rFonts w:ascii="Palatino Linotype" w:hAnsi="Palatino Linotype"/>
          <w:b/>
          <w:i/>
          <w:sz w:val="20"/>
          <w:szCs w:val="20"/>
        </w:rPr>
      </w:pPr>
      <w:proofErr w:type="spellStart"/>
      <w:r w:rsidRPr="00C4026F">
        <w:rPr>
          <w:rFonts w:ascii="Palatino Linotype" w:hAnsi="Palatino Linotype"/>
          <w:b/>
          <w:i/>
          <w:sz w:val="20"/>
          <w:szCs w:val="20"/>
        </w:rPr>
        <w:t>Maslach</w:t>
      </w:r>
      <w:proofErr w:type="spellEnd"/>
      <w:r w:rsidRPr="00C4026F">
        <w:rPr>
          <w:rFonts w:ascii="Palatino Linotype" w:hAnsi="Palatino Linotype"/>
          <w:b/>
          <w:i/>
          <w:sz w:val="20"/>
          <w:szCs w:val="20"/>
        </w:rPr>
        <w:t xml:space="preserve"> Tükenmişlik Envanteri-Öğrenci Formu (MTE-ÖF)</w:t>
      </w:r>
    </w:p>
    <w:p w:rsidR="00EF4A33" w:rsidRPr="00C4026F" w:rsidRDefault="009E449B" w:rsidP="003870C1">
      <w:pPr>
        <w:spacing w:after="240" w:line="240" w:lineRule="auto"/>
        <w:ind w:firstLine="709"/>
        <w:jc w:val="both"/>
        <w:rPr>
          <w:rFonts w:ascii="Palatino Linotype" w:hAnsi="Palatino Linotype" w:cs="Times New Roman"/>
          <w:b/>
          <w:sz w:val="20"/>
          <w:szCs w:val="20"/>
        </w:rPr>
      </w:pPr>
      <w:r w:rsidRPr="00C4026F">
        <w:rPr>
          <w:rFonts w:ascii="Palatino Linotype" w:hAnsi="Palatino Linotype"/>
          <w:sz w:val="20"/>
          <w:szCs w:val="20"/>
        </w:rPr>
        <w:t xml:space="preserve">Araştırmada öğrencilerin akademik tükenmişliklerini ölçmek için MTE-ÖF kullanılmıştır. MTE-ÖF </w:t>
      </w:r>
      <w:proofErr w:type="spellStart"/>
      <w:r w:rsidRPr="00C4026F">
        <w:rPr>
          <w:rFonts w:ascii="Palatino Linotype" w:hAnsi="Palatino Linotype"/>
          <w:sz w:val="20"/>
          <w:szCs w:val="20"/>
        </w:rPr>
        <w:t>Schaufeli</w:t>
      </w:r>
      <w:proofErr w:type="spellEnd"/>
      <w:r w:rsidRPr="00C4026F">
        <w:rPr>
          <w:rFonts w:ascii="Palatino Linotype" w:hAnsi="Palatino Linotype"/>
          <w:sz w:val="20"/>
          <w:szCs w:val="20"/>
        </w:rPr>
        <w:t xml:space="preserve"> vd. (2002) tarafından geliştirilmiş, </w:t>
      </w:r>
      <w:proofErr w:type="spellStart"/>
      <w:r w:rsidRPr="00C4026F">
        <w:rPr>
          <w:rFonts w:ascii="Palatino Linotype" w:hAnsi="Palatino Linotype"/>
          <w:sz w:val="20"/>
          <w:szCs w:val="20"/>
        </w:rPr>
        <w:t>Çapri</w:t>
      </w:r>
      <w:proofErr w:type="spellEnd"/>
      <w:r w:rsidRPr="00C4026F">
        <w:rPr>
          <w:rFonts w:ascii="Palatino Linotype" w:hAnsi="Palatino Linotype"/>
          <w:sz w:val="20"/>
          <w:szCs w:val="20"/>
        </w:rPr>
        <w:t xml:space="preserve">, Gündüz ve </w:t>
      </w:r>
      <w:proofErr w:type="spellStart"/>
      <w:r w:rsidRPr="00C4026F">
        <w:rPr>
          <w:rFonts w:ascii="Palatino Linotype" w:hAnsi="Palatino Linotype"/>
          <w:sz w:val="20"/>
          <w:szCs w:val="20"/>
        </w:rPr>
        <w:t>Gökçakan</w:t>
      </w:r>
      <w:proofErr w:type="spellEnd"/>
      <w:r w:rsidRPr="00C4026F">
        <w:rPr>
          <w:rFonts w:ascii="Palatino Linotype" w:hAnsi="Palatino Linotype"/>
          <w:sz w:val="20"/>
          <w:szCs w:val="20"/>
        </w:rPr>
        <w:t xml:space="preserve"> (2011) tarafından Türkçe’ye uyarlanmıştır. Ölçek duygusal tükenme, duyarsızlaşma ve yetkinlik şeklinde üç boyutlu bir yapıya sahiptir. Toplamda 16 maddeden oluşan ölçeğin yetkinlik boyutunda 6 madde yer alırken, duygusal tükenme ve duyarsızlaşma boyutlarında 5’er madde bulunmaktadır. MTE-ÖF’ün orijinal formu 7’li likert tipi bir derecelendirmeye sahiptir. Ölçeğin Türkçe formunda ise 5’li likert tipi bir derecelendirme kullanılmıştır. Şeker ve </w:t>
      </w:r>
      <w:proofErr w:type="spellStart"/>
      <w:r w:rsidRPr="00C4026F">
        <w:rPr>
          <w:rFonts w:ascii="Palatino Linotype" w:hAnsi="Palatino Linotype"/>
          <w:sz w:val="20"/>
          <w:szCs w:val="20"/>
        </w:rPr>
        <w:t>Gençdoğan’a</w:t>
      </w:r>
      <w:proofErr w:type="spellEnd"/>
      <w:r w:rsidRPr="00C4026F">
        <w:rPr>
          <w:rFonts w:ascii="Palatino Linotype" w:hAnsi="Palatino Linotype"/>
          <w:sz w:val="20"/>
          <w:szCs w:val="20"/>
        </w:rPr>
        <w:t xml:space="preserve"> (2006) göre, Türkçe anlam açısından en fazla beş seçeneğe kadar anlaşılır ifadeler yazılabilmektedir. Daha çok sayıda seçenek yazıldığında, Türkçe anlamları açısından pek farklı olmayan ifadeler ortaya çıkmaktadır. Örneğin; </w:t>
      </w:r>
      <w:r w:rsidRPr="00C4026F">
        <w:rPr>
          <w:rFonts w:ascii="Palatino Linotype" w:hAnsi="Palatino Linotype"/>
          <w:i/>
          <w:sz w:val="20"/>
          <w:szCs w:val="20"/>
        </w:rPr>
        <w:t>bazen, ara sıra</w:t>
      </w:r>
      <w:r w:rsidRPr="00C4026F">
        <w:rPr>
          <w:rFonts w:ascii="Palatino Linotype" w:hAnsi="Palatino Linotype"/>
          <w:sz w:val="20"/>
          <w:szCs w:val="20"/>
        </w:rPr>
        <w:t xml:space="preserve"> ve </w:t>
      </w:r>
      <w:r w:rsidRPr="00C4026F">
        <w:rPr>
          <w:rFonts w:ascii="Palatino Linotype" w:hAnsi="Palatino Linotype"/>
          <w:i/>
          <w:sz w:val="20"/>
          <w:szCs w:val="20"/>
        </w:rPr>
        <w:t>nadiren</w:t>
      </w:r>
      <w:r w:rsidRPr="00C4026F">
        <w:rPr>
          <w:rFonts w:ascii="Palatino Linotype" w:hAnsi="Palatino Linotype"/>
          <w:sz w:val="20"/>
          <w:szCs w:val="20"/>
        </w:rPr>
        <w:t xml:space="preserve"> gibi seçenekleri birbirinden ayırt etmek oldukça güçtür. Bu durum, MTE-ÖF’ün Türkçe formunda ölçeğin orijinal formundan farklı olarak 5’li bir derecelendirmenin kullanılmasına kaynaklık etmiş olabilir. MTE-ÖF’ün Türkçe formunun yapı geçerliği Doğrulayıcı Faktör Analizi (DFA) ile incelenmiştir. DFA sonucunda, 12 ile 15 numaralı maddelere ilişkin </w:t>
      </w:r>
      <w:r w:rsidRPr="00C4026F">
        <w:rPr>
          <w:rFonts w:ascii="Palatino Linotype" w:hAnsi="Palatino Linotype"/>
          <w:i/>
          <w:sz w:val="20"/>
          <w:szCs w:val="20"/>
        </w:rPr>
        <w:t xml:space="preserve">t </w:t>
      </w:r>
      <w:r w:rsidRPr="00C4026F">
        <w:rPr>
          <w:rFonts w:ascii="Palatino Linotype" w:hAnsi="Palatino Linotype"/>
          <w:sz w:val="20"/>
          <w:szCs w:val="20"/>
        </w:rPr>
        <w:t>değerleri anlamlı olmadığından ve 6 numaralı madde yer aldığı boyut dışındaki faktörlerle de ilişkili olduğundan bu maddeler ölçekten çıkarılmıştır. Çıkarılan 3 maddenin ardından DFA tekrarlanmış ve uyum indeksleri; RMSEA=.080, χ</w:t>
      </w:r>
      <w:r w:rsidRPr="00C4026F">
        <w:rPr>
          <w:rFonts w:ascii="Palatino Linotype" w:hAnsi="Palatino Linotype"/>
          <w:sz w:val="20"/>
          <w:szCs w:val="20"/>
          <w:vertAlign w:val="superscript"/>
        </w:rPr>
        <w:t>2</w:t>
      </w:r>
      <w:r w:rsidR="001D7FE7" w:rsidRPr="00C4026F">
        <w:rPr>
          <w:rFonts w:ascii="Palatino Linotype" w:hAnsi="Palatino Linotype"/>
          <w:sz w:val="20"/>
          <w:szCs w:val="20"/>
        </w:rPr>
        <w:t>/sd=</w:t>
      </w:r>
      <w:proofErr w:type="gramStart"/>
      <w:r w:rsidR="001D7FE7" w:rsidRPr="00C4026F">
        <w:rPr>
          <w:rFonts w:ascii="Palatino Linotype" w:hAnsi="Palatino Linotype"/>
          <w:sz w:val="20"/>
          <w:szCs w:val="20"/>
        </w:rPr>
        <w:t>5.9</w:t>
      </w:r>
      <w:proofErr w:type="gramEnd"/>
      <w:r w:rsidR="001D7FE7" w:rsidRPr="00C4026F">
        <w:rPr>
          <w:rFonts w:ascii="Palatino Linotype" w:hAnsi="Palatino Linotype"/>
          <w:sz w:val="20"/>
          <w:szCs w:val="20"/>
        </w:rPr>
        <w:t xml:space="preserve">, TLI=.93, </w:t>
      </w:r>
      <w:r w:rsidRPr="00C4026F">
        <w:rPr>
          <w:rFonts w:ascii="Palatino Linotype" w:hAnsi="Palatino Linotype"/>
          <w:sz w:val="20"/>
          <w:szCs w:val="20"/>
        </w:rPr>
        <w:t xml:space="preserve">CFI=.95, GFI=.93, AGFI=.90 ve SRMR=.049 olarak elde edilmiştir. Uyum indeksleri kabul edilebilir sınırlar içerisinde yer almadığından modifikasyon uygulanmıştır. Bu kapsamda; duygusal tükenme boyutunda bulunan 4-7, duyarsızlaşma boyutunda yer alan 2-5 ve yetkinlik boyutunda yer alan 8-11 maddeleri arasındaki hata varyansları ilişkilendirilmiştir. Modifikasyonların ardından tekrarlanan DFA’da kabul edilebilir uyum indekslerine sahip (RMSEA, .049; χ2/sd=2.87, TLI=.97, CFI=.98, GFI=.97, AGFI=.95, SRMR=.037) 13 madde ve üç faktörden </w:t>
      </w:r>
      <w:r w:rsidR="006D6669" w:rsidRPr="00C4026F">
        <w:rPr>
          <w:rFonts w:ascii="Palatino Linotype" w:hAnsi="Palatino Linotype"/>
          <w:sz w:val="20"/>
          <w:szCs w:val="20"/>
        </w:rPr>
        <w:t xml:space="preserve">oluşan </w:t>
      </w:r>
      <w:r w:rsidR="006D6669" w:rsidRPr="00C4026F">
        <w:rPr>
          <w:rFonts w:ascii="Palatino Linotype" w:hAnsi="Palatino Linotype"/>
          <w:sz w:val="20"/>
          <w:szCs w:val="20"/>
        </w:rPr>
        <w:lastRenderedPageBreak/>
        <w:t>bir yapıya ulaşılmıştır (</w:t>
      </w:r>
      <w:proofErr w:type="spellStart"/>
      <w:r w:rsidR="006D6669" w:rsidRPr="00C4026F">
        <w:rPr>
          <w:rFonts w:ascii="Palatino Linotype" w:hAnsi="Palatino Linotype"/>
          <w:sz w:val="20"/>
          <w:szCs w:val="20"/>
        </w:rPr>
        <w:t>bkz</w:t>
      </w:r>
      <w:proofErr w:type="spellEnd"/>
      <w:r w:rsidR="006D6669" w:rsidRPr="00C4026F">
        <w:rPr>
          <w:rFonts w:ascii="Palatino Linotype" w:hAnsi="Palatino Linotype"/>
          <w:sz w:val="20"/>
          <w:szCs w:val="20"/>
        </w:rPr>
        <w:t xml:space="preserve"> Tablo 1). </w:t>
      </w:r>
      <w:r w:rsidRPr="00C4026F">
        <w:rPr>
          <w:rFonts w:ascii="Palatino Linotype" w:hAnsi="Palatino Linotype"/>
          <w:sz w:val="20"/>
          <w:szCs w:val="20"/>
        </w:rPr>
        <w:t xml:space="preserve">MTE-ÖF’ün Türkçe formunda ölçümlere ilişkin güvenirlik katsayıları Cronbach Alfa ve test tekrar test yöntemleri ile hesaplanmıştır. Hesaplanan Cronbach Alfa güvenirlik katsayıları; duygusal tükenme alt ölçeğinden elde edilen ölçümler </w:t>
      </w:r>
      <w:proofErr w:type="gramStart"/>
      <w:r w:rsidRPr="00C4026F">
        <w:rPr>
          <w:rFonts w:ascii="Palatino Linotype" w:hAnsi="Palatino Linotype"/>
          <w:sz w:val="20"/>
          <w:szCs w:val="20"/>
        </w:rPr>
        <w:t>için .76</w:t>
      </w:r>
      <w:proofErr w:type="gramEnd"/>
      <w:r w:rsidRPr="00C4026F">
        <w:rPr>
          <w:rFonts w:ascii="Palatino Linotype" w:hAnsi="Palatino Linotype"/>
          <w:sz w:val="20"/>
          <w:szCs w:val="20"/>
        </w:rPr>
        <w:t xml:space="preserve">, duyarsızlaşma alt ölçeğinden elde edilen ölçümler için .82 ve yetkinlik alt ölçeğinden elde edilen ölçümler için .61 şeklindedir. Duygusal tükenme, duyarsızlaşma ve yetkinlik alt ölçeklerinden elde edilen ölçümler için hesaplanan test tekrar test güvenirlik katsayıları, </w:t>
      </w:r>
      <w:proofErr w:type="gramStart"/>
      <w:r w:rsidRPr="00C4026F">
        <w:rPr>
          <w:rFonts w:ascii="Palatino Linotype" w:hAnsi="Palatino Linotype"/>
          <w:sz w:val="20"/>
          <w:szCs w:val="20"/>
        </w:rPr>
        <w:t>sırasıyla .76</w:t>
      </w:r>
      <w:proofErr w:type="gramEnd"/>
      <w:r w:rsidRPr="00C4026F">
        <w:rPr>
          <w:rFonts w:ascii="Palatino Linotype" w:hAnsi="Palatino Linotype"/>
          <w:sz w:val="20"/>
          <w:szCs w:val="20"/>
        </w:rPr>
        <w:t xml:space="preserve">, .74 ve .70 olarak bulunmuştur. Bu çalışmada; duygusal tükenme, duyarsızlaşma ve yetkinlik alt ölçeklerinden elde edilen ölçümler için hesaplanan Cronbach Alfa güvenirlik katsayıları ise; .65, .77 </w:t>
      </w:r>
      <w:proofErr w:type="gramStart"/>
      <w:r w:rsidRPr="00C4026F">
        <w:rPr>
          <w:rFonts w:ascii="Palatino Linotype" w:hAnsi="Palatino Linotype"/>
          <w:sz w:val="20"/>
          <w:szCs w:val="20"/>
        </w:rPr>
        <w:t>ve .56</w:t>
      </w:r>
      <w:proofErr w:type="gramEnd"/>
      <w:r w:rsidRPr="00C4026F">
        <w:rPr>
          <w:rFonts w:ascii="Palatino Linotype" w:hAnsi="Palatino Linotype"/>
          <w:sz w:val="20"/>
          <w:szCs w:val="20"/>
        </w:rPr>
        <w:t xml:space="preserve"> olarak belirlenmiştir. Güvenirlik </w:t>
      </w:r>
      <w:proofErr w:type="gramStart"/>
      <w:r w:rsidRPr="00C4026F">
        <w:rPr>
          <w:rFonts w:ascii="Palatino Linotype" w:hAnsi="Palatino Linotype"/>
          <w:sz w:val="20"/>
          <w:szCs w:val="20"/>
        </w:rPr>
        <w:t>katsayısı .70</w:t>
      </w:r>
      <w:proofErr w:type="gramEnd"/>
      <w:r w:rsidRPr="00C4026F">
        <w:rPr>
          <w:rFonts w:ascii="Palatino Linotype" w:hAnsi="Palatino Linotype"/>
          <w:sz w:val="20"/>
          <w:szCs w:val="20"/>
        </w:rPr>
        <w:t xml:space="preserve"> ve üzerinde olan ölçümlerin güvenilir olduğu kabul edilmektedir (Büyüköztürk, 2010). Bununla birlikte; Cronbach Alfa güvenirlik katsayıları ölçekteki madde sayısı arttıkça yükselme eğilimi gösterdiğinden (</w:t>
      </w:r>
      <w:proofErr w:type="spellStart"/>
      <w:r w:rsidRPr="00C4026F">
        <w:rPr>
          <w:rFonts w:ascii="Palatino Linotype" w:hAnsi="Palatino Linotype"/>
          <w:sz w:val="20"/>
          <w:szCs w:val="20"/>
        </w:rPr>
        <w:t>Urbina</w:t>
      </w:r>
      <w:proofErr w:type="spellEnd"/>
      <w:r w:rsidRPr="00C4026F">
        <w:rPr>
          <w:rFonts w:ascii="Palatino Linotype" w:hAnsi="Palatino Linotype"/>
          <w:sz w:val="20"/>
          <w:szCs w:val="20"/>
        </w:rPr>
        <w:t xml:space="preserve">, 2004) madde sayısı az olan ölçeklerde, güvenirlik </w:t>
      </w:r>
      <w:proofErr w:type="gramStart"/>
      <w:r w:rsidRPr="00C4026F">
        <w:rPr>
          <w:rFonts w:ascii="Palatino Linotype" w:hAnsi="Palatino Linotype"/>
          <w:sz w:val="20"/>
          <w:szCs w:val="20"/>
        </w:rPr>
        <w:t>katsayısının .50’yi</w:t>
      </w:r>
      <w:proofErr w:type="gramEnd"/>
      <w:r w:rsidRPr="00C4026F">
        <w:rPr>
          <w:rFonts w:ascii="Palatino Linotype" w:hAnsi="Palatino Linotype"/>
          <w:sz w:val="20"/>
          <w:szCs w:val="20"/>
        </w:rPr>
        <w:t xml:space="preserve"> aşması ölçümlerin güvenirliği için yeterli görülmektedir (</w:t>
      </w:r>
      <w:proofErr w:type="spellStart"/>
      <w:r w:rsidRPr="00C4026F">
        <w:rPr>
          <w:rFonts w:ascii="Palatino Linotype" w:hAnsi="Palatino Linotype"/>
          <w:sz w:val="20"/>
          <w:szCs w:val="20"/>
        </w:rPr>
        <w:t>Nunnally</w:t>
      </w:r>
      <w:proofErr w:type="spellEnd"/>
      <w:r w:rsidRPr="00C4026F">
        <w:rPr>
          <w:rFonts w:ascii="Palatino Linotype" w:hAnsi="Palatino Linotype"/>
          <w:sz w:val="20"/>
          <w:szCs w:val="20"/>
        </w:rPr>
        <w:t xml:space="preserve">, 1978; </w:t>
      </w:r>
      <w:proofErr w:type="spellStart"/>
      <w:r w:rsidRPr="00C4026F">
        <w:rPr>
          <w:rFonts w:ascii="Palatino Linotype" w:hAnsi="Palatino Linotype"/>
          <w:sz w:val="20"/>
          <w:szCs w:val="20"/>
        </w:rPr>
        <w:t>Raines-Eudy</w:t>
      </w:r>
      <w:proofErr w:type="spellEnd"/>
      <w:r w:rsidRPr="00C4026F">
        <w:rPr>
          <w:rFonts w:ascii="Palatino Linotype" w:hAnsi="Palatino Linotype"/>
          <w:sz w:val="20"/>
          <w:szCs w:val="20"/>
        </w:rPr>
        <w:t>, 2000). Buna göre, hesaplanan güvenirlik katsayılarının kabul edilebilir sınırlar içerisinde y</w:t>
      </w:r>
      <w:r w:rsidR="00DB0644" w:rsidRPr="00C4026F">
        <w:rPr>
          <w:rFonts w:ascii="Palatino Linotype" w:hAnsi="Palatino Linotype"/>
          <w:sz w:val="20"/>
          <w:szCs w:val="20"/>
        </w:rPr>
        <w:t>er aldığı söylenebilir. MTE-ÖF’</w:t>
      </w:r>
      <w:r w:rsidRPr="00C4026F">
        <w:rPr>
          <w:rFonts w:ascii="Palatino Linotype" w:hAnsi="Palatino Linotype"/>
          <w:sz w:val="20"/>
          <w:szCs w:val="20"/>
        </w:rPr>
        <w:t>ün boyutları, her bir boyuta ilişkin örnek madde ve bu boyutlardan elde edilen ölçümler için hesaplanan Cronbach Alfa güvenirlik katsayıları Tablo 1’de ayrıca sunulmuştur.</w:t>
      </w:r>
    </w:p>
    <w:tbl>
      <w:tblPr>
        <w:tblStyle w:val="TabloKlavuzu"/>
        <w:tblW w:w="9072" w:type="dxa"/>
        <w:tblBorders>
          <w:top w:val="single" w:sz="2" w:space="0" w:color="auto"/>
          <w:left w:val="none" w:sz="0" w:space="0" w:color="auto"/>
          <w:bottom w:val="single" w:sz="2" w:space="0" w:color="auto"/>
          <w:right w:val="none" w:sz="0" w:space="0" w:color="auto"/>
          <w:insideH w:val="single" w:sz="2"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851"/>
        <w:gridCol w:w="5102"/>
        <w:gridCol w:w="1134"/>
      </w:tblGrid>
      <w:tr w:rsidR="003870C1" w:rsidRPr="00C4026F" w:rsidTr="00157699">
        <w:trPr>
          <w:trHeight w:val="20"/>
        </w:trPr>
        <w:tc>
          <w:tcPr>
            <w:tcW w:w="9072" w:type="dxa"/>
            <w:gridSpan w:val="4"/>
            <w:tcBorders>
              <w:top w:val="nil"/>
              <w:bottom w:val="single" w:sz="2" w:space="0" w:color="auto"/>
            </w:tcBorders>
            <w:shd w:val="clear" w:color="auto" w:fill="auto"/>
            <w:vAlign w:val="center"/>
          </w:tcPr>
          <w:p w:rsidR="003870C1" w:rsidRPr="00C4026F" w:rsidRDefault="003870C1" w:rsidP="009474C6">
            <w:pPr>
              <w:spacing w:after="20"/>
              <w:rPr>
                <w:rFonts w:ascii="Palatino Linotype" w:hAnsi="Palatino Linotype"/>
                <w:sz w:val="20"/>
                <w:szCs w:val="20"/>
              </w:rPr>
            </w:pPr>
            <w:r w:rsidRPr="00C4026F">
              <w:rPr>
                <w:rFonts w:ascii="Palatino Linotype" w:hAnsi="Palatino Linotype" w:cs="Times New Roman"/>
                <w:b/>
                <w:sz w:val="20"/>
                <w:szCs w:val="20"/>
              </w:rPr>
              <w:t>Tablo 1.</w:t>
            </w:r>
            <w:r w:rsidRPr="00C4026F">
              <w:rPr>
                <w:rFonts w:ascii="Palatino Linotype" w:hAnsi="Palatino Linotype" w:cs="Times New Roman"/>
                <w:sz w:val="20"/>
                <w:szCs w:val="20"/>
              </w:rPr>
              <w:t xml:space="preserve">  </w:t>
            </w:r>
            <w:r w:rsidRPr="00C4026F">
              <w:rPr>
                <w:rFonts w:ascii="Palatino Linotype" w:hAnsi="Palatino Linotype"/>
                <w:sz w:val="20"/>
                <w:szCs w:val="20"/>
              </w:rPr>
              <w:t>MTE-ÖF’ün Boyutlarındaki Madde Sayıları, Her Bir Boyuta İlişkin Örnek Maddeler ile Ölçümlere İlişkin Cronbach Alfa Güvenirlik Katsayıları</w:t>
            </w:r>
          </w:p>
        </w:tc>
      </w:tr>
      <w:tr w:rsidR="009E449B" w:rsidRPr="00C4026F" w:rsidTr="003870C1">
        <w:trPr>
          <w:trHeight w:val="20"/>
        </w:trPr>
        <w:tc>
          <w:tcPr>
            <w:tcW w:w="1985" w:type="dxa"/>
            <w:tcBorders>
              <w:bottom w:val="single" w:sz="2" w:space="0" w:color="auto"/>
            </w:tcBorders>
            <w:shd w:val="clear" w:color="auto" w:fill="auto"/>
            <w:vAlign w:val="center"/>
          </w:tcPr>
          <w:p w:rsidR="009E449B" w:rsidRPr="00DB397C" w:rsidRDefault="009E449B" w:rsidP="008575F6">
            <w:pPr>
              <w:rPr>
                <w:rFonts w:ascii="Palatino Linotype" w:hAnsi="Palatino Linotype"/>
                <w:b/>
                <w:sz w:val="20"/>
                <w:szCs w:val="20"/>
              </w:rPr>
            </w:pPr>
            <w:r w:rsidRPr="00DB397C">
              <w:rPr>
                <w:rFonts w:ascii="Palatino Linotype" w:hAnsi="Palatino Linotype"/>
                <w:b/>
                <w:sz w:val="20"/>
                <w:szCs w:val="20"/>
              </w:rPr>
              <w:t>Boyutlar</w:t>
            </w:r>
          </w:p>
        </w:tc>
        <w:tc>
          <w:tcPr>
            <w:tcW w:w="851" w:type="dxa"/>
            <w:tcBorders>
              <w:bottom w:val="single" w:sz="2" w:space="0" w:color="auto"/>
            </w:tcBorders>
            <w:shd w:val="clear" w:color="auto" w:fill="auto"/>
          </w:tcPr>
          <w:p w:rsidR="009E449B" w:rsidRPr="00DB397C" w:rsidRDefault="009E449B" w:rsidP="008575F6">
            <w:pPr>
              <w:jc w:val="center"/>
              <w:rPr>
                <w:rFonts w:ascii="Palatino Linotype" w:hAnsi="Palatino Linotype"/>
                <w:b/>
                <w:sz w:val="20"/>
                <w:szCs w:val="20"/>
              </w:rPr>
            </w:pPr>
            <w:r w:rsidRPr="00DB397C">
              <w:rPr>
                <w:rFonts w:ascii="Palatino Linotype" w:hAnsi="Palatino Linotype"/>
                <w:b/>
                <w:sz w:val="20"/>
                <w:szCs w:val="20"/>
              </w:rPr>
              <w:t>Madde</w:t>
            </w:r>
          </w:p>
          <w:p w:rsidR="009E449B" w:rsidRPr="00DB397C" w:rsidRDefault="009E449B" w:rsidP="008575F6">
            <w:pPr>
              <w:jc w:val="center"/>
              <w:rPr>
                <w:rFonts w:ascii="Palatino Linotype" w:hAnsi="Palatino Linotype"/>
                <w:b/>
                <w:sz w:val="20"/>
                <w:szCs w:val="20"/>
              </w:rPr>
            </w:pPr>
            <w:r w:rsidRPr="00DB397C">
              <w:rPr>
                <w:rFonts w:ascii="Palatino Linotype" w:hAnsi="Palatino Linotype"/>
                <w:b/>
                <w:sz w:val="20"/>
                <w:szCs w:val="20"/>
              </w:rPr>
              <w:t>Sayısı</w:t>
            </w:r>
          </w:p>
        </w:tc>
        <w:tc>
          <w:tcPr>
            <w:tcW w:w="5102" w:type="dxa"/>
            <w:tcBorders>
              <w:bottom w:val="single" w:sz="2" w:space="0" w:color="auto"/>
            </w:tcBorders>
            <w:shd w:val="clear" w:color="auto" w:fill="auto"/>
            <w:vAlign w:val="center"/>
          </w:tcPr>
          <w:p w:rsidR="009E449B" w:rsidRPr="00DB397C" w:rsidRDefault="009E449B" w:rsidP="008575F6">
            <w:pPr>
              <w:jc w:val="center"/>
              <w:rPr>
                <w:rFonts w:ascii="Palatino Linotype" w:hAnsi="Palatino Linotype"/>
                <w:b/>
                <w:sz w:val="20"/>
                <w:szCs w:val="20"/>
              </w:rPr>
            </w:pPr>
            <w:r w:rsidRPr="00DB397C">
              <w:rPr>
                <w:rFonts w:ascii="Palatino Linotype" w:hAnsi="Palatino Linotype"/>
                <w:b/>
                <w:sz w:val="20"/>
                <w:szCs w:val="20"/>
              </w:rPr>
              <w:t>Örnek Madde</w:t>
            </w:r>
          </w:p>
        </w:tc>
        <w:tc>
          <w:tcPr>
            <w:tcW w:w="1134" w:type="dxa"/>
            <w:tcBorders>
              <w:bottom w:val="single" w:sz="2" w:space="0" w:color="auto"/>
            </w:tcBorders>
            <w:shd w:val="clear" w:color="auto" w:fill="auto"/>
            <w:vAlign w:val="center"/>
          </w:tcPr>
          <w:p w:rsidR="009E449B" w:rsidRPr="00DB397C" w:rsidRDefault="009E449B" w:rsidP="008575F6">
            <w:pPr>
              <w:jc w:val="center"/>
              <w:rPr>
                <w:rFonts w:ascii="Palatino Linotype" w:hAnsi="Palatino Linotype"/>
                <w:b/>
                <w:sz w:val="20"/>
                <w:szCs w:val="20"/>
              </w:rPr>
            </w:pPr>
            <w:r w:rsidRPr="00DB397C">
              <w:rPr>
                <w:rFonts w:ascii="Palatino Linotype" w:hAnsi="Palatino Linotype"/>
                <w:b/>
                <w:sz w:val="20"/>
                <w:szCs w:val="20"/>
              </w:rPr>
              <w:t>Cronbach Alfa</w:t>
            </w:r>
          </w:p>
        </w:tc>
      </w:tr>
      <w:tr w:rsidR="009E449B" w:rsidRPr="00C4026F" w:rsidTr="003870C1">
        <w:trPr>
          <w:trHeight w:val="20"/>
        </w:trPr>
        <w:tc>
          <w:tcPr>
            <w:tcW w:w="1985" w:type="dxa"/>
            <w:tcBorders>
              <w:bottom w:val="nil"/>
            </w:tcBorders>
            <w:shd w:val="clear" w:color="auto" w:fill="auto"/>
            <w:vAlign w:val="center"/>
          </w:tcPr>
          <w:p w:rsidR="009E449B" w:rsidRPr="00C4026F" w:rsidRDefault="009E449B" w:rsidP="008575F6">
            <w:pPr>
              <w:rPr>
                <w:rFonts w:ascii="Palatino Linotype" w:hAnsi="Palatino Linotype"/>
                <w:sz w:val="20"/>
                <w:szCs w:val="20"/>
              </w:rPr>
            </w:pPr>
            <w:r w:rsidRPr="00C4026F">
              <w:rPr>
                <w:rFonts w:ascii="Palatino Linotype" w:hAnsi="Palatino Linotype"/>
                <w:sz w:val="20"/>
                <w:szCs w:val="20"/>
              </w:rPr>
              <w:t>Duygusal Tükenme</w:t>
            </w:r>
          </w:p>
        </w:tc>
        <w:tc>
          <w:tcPr>
            <w:tcW w:w="851" w:type="dxa"/>
            <w:tcBorders>
              <w:bottom w:val="nil"/>
            </w:tcBorders>
            <w:shd w:val="clear" w:color="auto" w:fill="auto"/>
            <w:vAlign w:val="center"/>
          </w:tcPr>
          <w:p w:rsidR="009E449B" w:rsidRPr="00C4026F" w:rsidRDefault="009E449B" w:rsidP="008575F6">
            <w:pPr>
              <w:jc w:val="center"/>
              <w:rPr>
                <w:rFonts w:ascii="Palatino Linotype" w:hAnsi="Palatino Linotype"/>
                <w:sz w:val="20"/>
                <w:szCs w:val="20"/>
              </w:rPr>
            </w:pPr>
            <w:r w:rsidRPr="00C4026F">
              <w:rPr>
                <w:rFonts w:ascii="Palatino Linotype" w:hAnsi="Palatino Linotype"/>
                <w:sz w:val="20"/>
                <w:szCs w:val="20"/>
              </w:rPr>
              <w:t>5</w:t>
            </w:r>
          </w:p>
        </w:tc>
        <w:tc>
          <w:tcPr>
            <w:tcW w:w="5102" w:type="dxa"/>
            <w:tcBorders>
              <w:bottom w:val="nil"/>
            </w:tcBorders>
            <w:shd w:val="clear" w:color="auto" w:fill="auto"/>
            <w:vAlign w:val="center"/>
          </w:tcPr>
          <w:p w:rsidR="009E449B" w:rsidRPr="00C4026F" w:rsidRDefault="009E449B" w:rsidP="008575F6">
            <w:pPr>
              <w:rPr>
                <w:rFonts w:ascii="Palatino Linotype" w:hAnsi="Palatino Linotype"/>
                <w:sz w:val="20"/>
                <w:szCs w:val="20"/>
              </w:rPr>
            </w:pPr>
            <w:r w:rsidRPr="00C4026F">
              <w:rPr>
                <w:rFonts w:ascii="Palatino Linotype" w:hAnsi="Palatino Linotype"/>
                <w:sz w:val="20"/>
                <w:szCs w:val="20"/>
              </w:rPr>
              <w:t>Ders çalışmak veya bir derse girmek benim için gerçekten bir yüktür</w:t>
            </w:r>
          </w:p>
        </w:tc>
        <w:tc>
          <w:tcPr>
            <w:tcW w:w="1134" w:type="dxa"/>
            <w:tcBorders>
              <w:bottom w:val="nil"/>
            </w:tcBorders>
            <w:shd w:val="clear" w:color="auto" w:fill="auto"/>
            <w:vAlign w:val="center"/>
          </w:tcPr>
          <w:p w:rsidR="009E449B" w:rsidRPr="00C4026F" w:rsidRDefault="009E449B" w:rsidP="008575F6">
            <w:pPr>
              <w:jc w:val="center"/>
              <w:rPr>
                <w:rFonts w:ascii="Palatino Linotype" w:hAnsi="Palatino Linotype"/>
                <w:sz w:val="20"/>
                <w:szCs w:val="20"/>
              </w:rPr>
            </w:pPr>
            <w:r w:rsidRPr="00C4026F">
              <w:rPr>
                <w:rFonts w:ascii="Palatino Linotype" w:hAnsi="Palatino Linotype"/>
                <w:sz w:val="20"/>
                <w:szCs w:val="20"/>
              </w:rPr>
              <w:t>.65</w:t>
            </w:r>
          </w:p>
        </w:tc>
      </w:tr>
      <w:tr w:rsidR="009E449B" w:rsidRPr="00C4026F" w:rsidTr="003870C1">
        <w:trPr>
          <w:trHeight w:val="20"/>
        </w:trPr>
        <w:tc>
          <w:tcPr>
            <w:tcW w:w="1985" w:type="dxa"/>
            <w:tcBorders>
              <w:top w:val="nil"/>
              <w:bottom w:val="nil"/>
            </w:tcBorders>
            <w:shd w:val="clear" w:color="auto" w:fill="auto"/>
            <w:vAlign w:val="center"/>
          </w:tcPr>
          <w:p w:rsidR="009E449B" w:rsidRPr="00C4026F" w:rsidRDefault="009E449B" w:rsidP="008575F6">
            <w:pPr>
              <w:rPr>
                <w:rFonts w:ascii="Palatino Linotype" w:hAnsi="Palatino Linotype"/>
                <w:sz w:val="20"/>
                <w:szCs w:val="20"/>
              </w:rPr>
            </w:pPr>
            <w:r w:rsidRPr="00C4026F">
              <w:rPr>
                <w:rFonts w:ascii="Palatino Linotype" w:hAnsi="Palatino Linotype"/>
                <w:sz w:val="20"/>
                <w:szCs w:val="20"/>
              </w:rPr>
              <w:t>Duyarsızlaşma</w:t>
            </w:r>
          </w:p>
        </w:tc>
        <w:tc>
          <w:tcPr>
            <w:tcW w:w="851" w:type="dxa"/>
            <w:tcBorders>
              <w:top w:val="nil"/>
              <w:bottom w:val="nil"/>
            </w:tcBorders>
            <w:shd w:val="clear" w:color="auto" w:fill="auto"/>
            <w:vAlign w:val="center"/>
          </w:tcPr>
          <w:p w:rsidR="009E449B" w:rsidRPr="00C4026F" w:rsidRDefault="009E449B" w:rsidP="008575F6">
            <w:pPr>
              <w:jc w:val="center"/>
              <w:rPr>
                <w:rFonts w:ascii="Palatino Linotype" w:hAnsi="Palatino Linotype"/>
                <w:sz w:val="20"/>
                <w:szCs w:val="20"/>
              </w:rPr>
            </w:pPr>
            <w:r w:rsidRPr="00C4026F">
              <w:rPr>
                <w:rFonts w:ascii="Palatino Linotype" w:hAnsi="Palatino Linotype"/>
                <w:sz w:val="20"/>
                <w:szCs w:val="20"/>
              </w:rPr>
              <w:t>4</w:t>
            </w:r>
          </w:p>
        </w:tc>
        <w:tc>
          <w:tcPr>
            <w:tcW w:w="5102" w:type="dxa"/>
            <w:tcBorders>
              <w:top w:val="nil"/>
              <w:bottom w:val="nil"/>
            </w:tcBorders>
            <w:shd w:val="clear" w:color="auto" w:fill="auto"/>
            <w:vAlign w:val="center"/>
          </w:tcPr>
          <w:p w:rsidR="009E449B" w:rsidRPr="00C4026F" w:rsidRDefault="009E449B" w:rsidP="008575F6">
            <w:pPr>
              <w:rPr>
                <w:rFonts w:ascii="Palatino Linotype" w:hAnsi="Palatino Linotype"/>
                <w:sz w:val="20"/>
                <w:szCs w:val="20"/>
              </w:rPr>
            </w:pPr>
            <w:r w:rsidRPr="00C4026F">
              <w:rPr>
                <w:rFonts w:ascii="Palatino Linotype" w:hAnsi="Palatino Linotype"/>
                <w:sz w:val="20"/>
                <w:szCs w:val="20"/>
              </w:rPr>
              <w:t>Derslerimin öneminden kuşkuluyum</w:t>
            </w:r>
          </w:p>
        </w:tc>
        <w:tc>
          <w:tcPr>
            <w:tcW w:w="1134" w:type="dxa"/>
            <w:tcBorders>
              <w:top w:val="nil"/>
              <w:bottom w:val="nil"/>
            </w:tcBorders>
            <w:shd w:val="clear" w:color="auto" w:fill="auto"/>
            <w:vAlign w:val="center"/>
          </w:tcPr>
          <w:p w:rsidR="009E449B" w:rsidRPr="00C4026F" w:rsidRDefault="009E449B" w:rsidP="008575F6">
            <w:pPr>
              <w:jc w:val="center"/>
              <w:rPr>
                <w:rFonts w:ascii="Palatino Linotype" w:hAnsi="Palatino Linotype"/>
                <w:sz w:val="20"/>
                <w:szCs w:val="20"/>
              </w:rPr>
            </w:pPr>
            <w:r w:rsidRPr="00C4026F">
              <w:rPr>
                <w:rFonts w:ascii="Palatino Linotype" w:hAnsi="Palatino Linotype"/>
                <w:sz w:val="20"/>
                <w:szCs w:val="20"/>
              </w:rPr>
              <w:t>.77</w:t>
            </w:r>
          </w:p>
        </w:tc>
      </w:tr>
      <w:tr w:rsidR="009E449B" w:rsidRPr="00C4026F" w:rsidTr="003870C1">
        <w:trPr>
          <w:trHeight w:val="20"/>
        </w:trPr>
        <w:tc>
          <w:tcPr>
            <w:tcW w:w="1985" w:type="dxa"/>
            <w:tcBorders>
              <w:top w:val="nil"/>
            </w:tcBorders>
            <w:shd w:val="clear" w:color="auto" w:fill="auto"/>
            <w:vAlign w:val="center"/>
          </w:tcPr>
          <w:p w:rsidR="009E449B" w:rsidRPr="00C4026F" w:rsidRDefault="009E449B" w:rsidP="008575F6">
            <w:pPr>
              <w:rPr>
                <w:rFonts w:ascii="Palatino Linotype" w:hAnsi="Palatino Linotype"/>
                <w:sz w:val="20"/>
                <w:szCs w:val="20"/>
              </w:rPr>
            </w:pPr>
            <w:r w:rsidRPr="00C4026F">
              <w:rPr>
                <w:rFonts w:ascii="Palatino Linotype" w:hAnsi="Palatino Linotype"/>
                <w:sz w:val="20"/>
                <w:szCs w:val="20"/>
              </w:rPr>
              <w:t>Yetkinlik</w:t>
            </w:r>
          </w:p>
        </w:tc>
        <w:tc>
          <w:tcPr>
            <w:tcW w:w="851" w:type="dxa"/>
            <w:tcBorders>
              <w:top w:val="nil"/>
            </w:tcBorders>
            <w:shd w:val="clear" w:color="auto" w:fill="auto"/>
            <w:vAlign w:val="center"/>
          </w:tcPr>
          <w:p w:rsidR="009E449B" w:rsidRPr="00C4026F" w:rsidRDefault="009E449B" w:rsidP="008575F6">
            <w:pPr>
              <w:jc w:val="center"/>
              <w:rPr>
                <w:rFonts w:ascii="Palatino Linotype" w:hAnsi="Palatino Linotype"/>
                <w:sz w:val="20"/>
                <w:szCs w:val="20"/>
              </w:rPr>
            </w:pPr>
            <w:r w:rsidRPr="00C4026F">
              <w:rPr>
                <w:rFonts w:ascii="Palatino Linotype" w:hAnsi="Palatino Linotype"/>
                <w:sz w:val="20"/>
                <w:szCs w:val="20"/>
              </w:rPr>
              <w:t>4</w:t>
            </w:r>
          </w:p>
        </w:tc>
        <w:tc>
          <w:tcPr>
            <w:tcW w:w="5102" w:type="dxa"/>
            <w:tcBorders>
              <w:top w:val="nil"/>
            </w:tcBorders>
            <w:shd w:val="clear" w:color="auto" w:fill="auto"/>
            <w:vAlign w:val="center"/>
          </w:tcPr>
          <w:p w:rsidR="009E449B" w:rsidRPr="00C4026F" w:rsidRDefault="009E449B" w:rsidP="009474C6">
            <w:pPr>
              <w:spacing w:after="20"/>
              <w:rPr>
                <w:rFonts w:ascii="Palatino Linotype" w:hAnsi="Palatino Linotype"/>
                <w:sz w:val="20"/>
                <w:szCs w:val="20"/>
              </w:rPr>
            </w:pPr>
            <w:r w:rsidRPr="00C4026F">
              <w:rPr>
                <w:rFonts w:ascii="Palatino Linotype" w:hAnsi="Palatino Linotype"/>
                <w:sz w:val="20"/>
                <w:szCs w:val="20"/>
              </w:rPr>
              <w:t>Derslerimde karşılaştığım problemleri etkili bir şekilde çözebilirim</w:t>
            </w:r>
          </w:p>
        </w:tc>
        <w:tc>
          <w:tcPr>
            <w:tcW w:w="1134" w:type="dxa"/>
            <w:tcBorders>
              <w:top w:val="nil"/>
            </w:tcBorders>
            <w:shd w:val="clear" w:color="auto" w:fill="auto"/>
            <w:vAlign w:val="center"/>
          </w:tcPr>
          <w:p w:rsidR="009E449B" w:rsidRPr="00C4026F" w:rsidRDefault="009E449B" w:rsidP="008575F6">
            <w:pPr>
              <w:jc w:val="center"/>
              <w:rPr>
                <w:rFonts w:ascii="Palatino Linotype" w:hAnsi="Palatino Linotype"/>
                <w:sz w:val="20"/>
                <w:szCs w:val="20"/>
              </w:rPr>
            </w:pPr>
            <w:r w:rsidRPr="00C4026F">
              <w:rPr>
                <w:rFonts w:ascii="Palatino Linotype" w:hAnsi="Palatino Linotype"/>
                <w:sz w:val="20"/>
                <w:szCs w:val="20"/>
              </w:rPr>
              <w:t>.56</w:t>
            </w:r>
          </w:p>
        </w:tc>
      </w:tr>
    </w:tbl>
    <w:p w:rsidR="00302BB9" w:rsidRPr="00C4026F" w:rsidRDefault="00302BB9" w:rsidP="00870348">
      <w:pPr>
        <w:spacing w:before="240" w:after="0" w:line="235" w:lineRule="auto"/>
        <w:ind w:firstLine="709"/>
        <w:jc w:val="both"/>
        <w:rPr>
          <w:rFonts w:ascii="Palatino Linotype" w:hAnsi="Palatino Linotype" w:cs="Times New Roman"/>
          <w:b/>
          <w:i/>
          <w:sz w:val="20"/>
          <w:szCs w:val="20"/>
        </w:rPr>
      </w:pPr>
      <w:r w:rsidRPr="00C4026F">
        <w:rPr>
          <w:rFonts w:ascii="Palatino Linotype" w:hAnsi="Palatino Linotype" w:cs="Times New Roman"/>
          <w:b/>
          <w:i/>
          <w:sz w:val="20"/>
          <w:szCs w:val="20"/>
        </w:rPr>
        <w:t>Sınıf Değerlendirme Atmosferi Ölçeği (SDAÖ)</w:t>
      </w:r>
    </w:p>
    <w:p w:rsidR="009E449B" w:rsidRPr="00C4026F" w:rsidRDefault="00302BB9" w:rsidP="00870348">
      <w:pPr>
        <w:spacing w:after="240" w:line="235" w:lineRule="auto"/>
        <w:ind w:firstLine="709"/>
        <w:jc w:val="both"/>
        <w:rPr>
          <w:rFonts w:ascii="Palatino Linotype" w:hAnsi="Palatino Linotype" w:cs="Times New Roman"/>
          <w:sz w:val="20"/>
          <w:szCs w:val="20"/>
        </w:rPr>
      </w:pPr>
      <w:r w:rsidRPr="00C4026F">
        <w:rPr>
          <w:rFonts w:ascii="Palatino Linotype" w:hAnsi="Palatino Linotype" w:cs="Times New Roman"/>
          <w:sz w:val="20"/>
          <w:szCs w:val="20"/>
        </w:rPr>
        <w:t xml:space="preserve">Araştırmada öğrencilerin sınıf değerlendirme atmosferine yönelik algılarını ölçmek için araştırmacılar tarafından geliştirilen SDAÖ’den yararlanılmıştır. </w:t>
      </w:r>
      <w:r w:rsidRPr="00C4026F">
        <w:rPr>
          <w:rFonts w:ascii="Palatino Linotype" w:hAnsi="Palatino Linotype" w:cs="Calibri"/>
          <w:sz w:val="20"/>
          <w:szCs w:val="20"/>
        </w:rPr>
        <w:t xml:space="preserve">Ölçek maddelerinin hazırlanmasında </w:t>
      </w:r>
      <w:r w:rsidRPr="00C4026F">
        <w:rPr>
          <w:rFonts w:ascii="Palatino Linotype" w:hAnsi="Palatino Linotype" w:cs="Times New Roman"/>
          <w:sz w:val="20"/>
          <w:szCs w:val="20"/>
        </w:rPr>
        <w:t>Alkharusi (2009, 2011) tarafından geliştirilen Sınıf Değerlendirme Ortamı Ölçeği’nden (</w:t>
      </w:r>
      <w:r w:rsidRPr="00C4026F">
        <w:rPr>
          <w:rFonts w:ascii="Palatino Linotype" w:hAnsi="Palatino Linotype" w:cs="Times New Roman"/>
          <w:sz w:val="20"/>
          <w:szCs w:val="20"/>
          <w:lang w:val="en-US"/>
        </w:rPr>
        <w:t>Classroom Assessment Environment Scale</w:t>
      </w:r>
      <w:r w:rsidRPr="00C4026F">
        <w:rPr>
          <w:rFonts w:ascii="Palatino Linotype" w:hAnsi="Palatino Linotype" w:cs="Times New Roman"/>
          <w:sz w:val="20"/>
          <w:szCs w:val="20"/>
        </w:rPr>
        <w:t>) yararlanılmıştır. Bu kapsamda ilk olarak; Alkharusi ile elektronik posta yoluyla iletişime geçilmiş ve Sınıf Değerlendirme Ortamı Ölçeği’nden yararlanılabileceğine dair gerekli izin alınmıştır. Gerekli izin alındıktan sonra, Alkharusi (2009</w:t>
      </w:r>
      <w:r w:rsidR="002A6AA2" w:rsidRPr="00C4026F">
        <w:rPr>
          <w:rFonts w:ascii="Palatino Linotype" w:hAnsi="Palatino Linotype" w:cs="Times New Roman"/>
          <w:sz w:val="20"/>
          <w:szCs w:val="20"/>
        </w:rPr>
        <w:t>, 2011</w:t>
      </w:r>
      <w:r w:rsidRPr="00C4026F">
        <w:rPr>
          <w:rFonts w:ascii="Palatino Linotype" w:hAnsi="Palatino Linotype" w:cs="Times New Roman"/>
          <w:sz w:val="20"/>
          <w:szCs w:val="20"/>
        </w:rPr>
        <w:t xml:space="preserve">) tarafından geliştirilen ölçekteki bazı maddeler doğrudan Türkçe’ye çevrilerek SDAÖ’nün madde havuzuna dâhil </w:t>
      </w:r>
      <w:r w:rsidR="00AA0D8E" w:rsidRPr="00C4026F">
        <w:rPr>
          <w:rFonts w:ascii="Palatino Linotype" w:hAnsi="Palatino Linotype" w:cs="Times New Roman"/>
          <w:sz w:val="20"/>
          <w:szCs w:val="20"/>
        </w:rPr>
        <w:t xml:space="preserve">edilmiştir. Örneğin; Alkharusi </w:t>
      </w:r>
      <w:r w:rsidRPr="00C4026F">
        <w:rPr>
          <w:rFonts w:ascii="Palatino Linotype" w:hAnsi="Palatino Linotype" w:cs="Times New Roman"/>
          <w:sz w:val="20"/>
          <w:szCs w:val="20"/>
        </w:rPr>
        <w:t>tarafından geliştirilen ölçekteki “</w:t>
      </w:r>
      <w:r w:rsidRPr="00C4026F">
        <w:rPr>
          <w:rFonts w:ascii="Palatino Linotype" w:hAnsi="Palatino Linotype" w:cs="Times New Roman"/>
          <w:i/>
          <w:sz w:val="20"/>
          <w:szCs w:val="20"/>
          <w:lang w:val="en-US"/>
        </w:rPr>
        <w:t xml:space="preserve">In this class, the assignments and activities are related to students’ </w:t>
      </w:r>
      <w:r w:rsidR="00510D5B" w:rsidRPr="00C4026F">
        <w:rPr>
          <w:rFonts w:ascii="Palatino Linotype" w:hAnsi="Palatino Linotype" w:cs="Times New Roman"/>
          <w:i/>
          <w:sz w:val="20"/>
          <w:szCs w:val="20"/>
          <w:lang w:val="en-US"/>
        </w:rPr>
        <w:t>everyday</w:t>
      </w:r>
      <w:r w:rsidRPr="00C4026F">
        <w:rPr>
          <w:rFonts w:ascii="Palatino Linotype" w:hAnsi="Palatino Linotype" w:cs="Times New Roman"/>
          <w:i/>
          <w:sz w:val="20"/>
          <w:szCs w:val="20"/>
          <w:lang w:val="en-US"/>
        </w:rPr>
        <w:t xml:space="preserve"> lives</w:t>
      </w:r>
      <w:r w:rsidRPr="00C4026F">
        <w:rPr>
          <w:rFonts w:ascii="Palatino Linotype" w:hAnsi="Palatino Linotype" w:cs="Times New Roman"/>
          <w:sz w:val="20"/>
          <w:szCs w:val="20"/>
        </w:rPr>
        <w:t>” maddesi, “</w:t>
      </w:r>
      <w:r w:rsidRPr="00C4026F">
        <w:rPr>
          <w:rFonts w:ascii="Palatino Linotype" w:hAnsi="Palatino Linotype" w:cs="Times New Roman"/>
          <w:i/>
          <w:sz w:val="20"/>
          <w:szCs w:val="20"/>
        </w:rPr>
        <w:t>Bu sınıfta uygulanan değerlendirme etkinlikleri öğrencilerin günlük yaşamları ile ilişkilidir</w:t>
      </w:r>
      <w:r w:rsidRPr="00C4026F">
        <w:rPr>
          <w:rFonts w:ascii="Palatino Linotype" w:hAnsi="Palatino Linotype" w:cs="Times New Roman"/>
          <w:sz w:val="20"/>
          <w:szCs w:val="20"/>
        </w:rPr>
        <w:t xml:space="preserve">” şeklinde doğrudan Türkçe’ye çevrilmiştir. Öte yandan, kültürel ve dilsel farklılıklardan dolayı ölçekteki bazı maddeler kısmen değiştirilerek SDAÖ’nün madde havuzuna eklenmiştir. Örnek vermek gerekirse, </w:t>
      </w:r>
      <w:proofErr w:type="spellStart"/>
      <w:r w:rsidRPr="00C4026F">
        <w:rPr>
          <w:rFonts w:ascii="Palatino Linotype" w:hAnsi="Palatino Linotype" w:cs="Times New Roman"/>
          <w:sz w:val="20"/>
          <w:szCs w:val="20"/>
        </w:rPr>
        <w:t>Alkharusi’nin</w:t>
      </w:r>
      <w:proofErr w:type="spellEnd"/>
      <w:r w:rsidRPr="00C4026F">
        <w:rPr>
          <w:rFonts w:ascii="Palatino Linotype" w:hAnsi="Palatino Linotype" w:cs="Times New Roman"/>
          <w:sz w:val="20"/>
          <w:szCs w:val="20"/>
        </w:rPr>
        <w:t xml:space="preserve"> (2009</w:t>
      </w:r>
      <w:r w:rsidR="00977C49" w:rsidRPr="00C4026F">
        <w:rPr>
          <w:rFonts w:ascii="Palatino Linotype" w:hAnsi="Palatino Linotype" w:cs="Times New Roman"/>
          <w:sz w:val="20"/>
          <w:szCs w:val="20"/>
        </w:rPr>
        <w:t>, 2011</w:t>
      </w:r>
      <w:r w:rsidRPr="00C4026F">
        <w:rPr>
          <w:rFonts w:ascii="Palatino Linotype" w:hAnsi="Palatino Linotype" w:cs="Times New Roman"/>
          <w:sz w:val="20"/>
          <w:szCs w:val="20"/>
        </w:rPr>
        <w:t>) geliştirdiği ölçekte “</w:t>
      </w:r>
      <w:proofErr w:type="spellStart"/>
      <w:r w:rsidRPr="00C4026F">
        <w:rPr>
          <w:rFonts w:ascii="Palatino Linotype" w:hAnsi="Palatino Linotype" w:cs="Times New Roman"/>
          <w:i/>
          <w:sz w:val="20"/>
          <w:szCs w:val="20"/>
        </w:rPr>
        <w:t>In</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this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class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the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instructor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uses</w:t>
      </w:r>
      <w:proofErr w:type="spellEnd"/>
      <w:r w:rsidRPr="00C4026F">
        <w:rPr>
          <w:rFonts w:ascii="Palatino Linotype" w:hAnsi="Palatino Linotype" w:cs="Times New Roman"/>
          <w:i/>
          <w:sz w:val="20"/>
          <w:szCs w:val="20"/>
        </w:rPr>
        <w:t xml:space="preserve"> a </w:t>
      </w:r>
      <w:proofErr w:type="spellStart"/>
      <w:r w:rsidRPr="00C4026F">
        <w:rPr>
          <w:rFonts w:ascii="Palatino Linotype" w:hAnsi="Palatino Linotype" w:cs="Times New Roman"/>
          <w:i/>
          <w:sz w:val="20"/>
          <w:szCs w:val="20"/>
        </w:rPr>
        <w:t>variety</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ways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e.g</w:t>
      </w:r>
      <w:proofErr w:type="spellEnd"/>
      <w:proofErr w:type="gramStart"/>
      <w:r w:rsidRPr="00C4026F">
        <w:rPr>
          <w:rFonts w:ascii="Palatino Linotype" w:hAnsi="Palatino Linotype" w:cs="Times New Roman"/>
          <w:i/>
          <w:sz w:val="20"/>
          <w:szCs w:val="20"/>
        </w:rPr>
        <w:t>.,</w:t>
      </w:r>
      <w:proofErr w:type="gram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tests</w:t>
      </w:r>
      <w:proofErr w:type="spellEnd"/>
      <w:r w:rsidRPr="00C4026F">
        <w:rPr>
          <w:rFonts w:ascii="Palatino Linotype" w:hAnsi="Palatino Linotype" w:cs="Times New Roman"/>
          <w:i/>
          <w:sz w:val="20"/>
          <w:szCs w:val="20"/>
        </w:rPr>
        <w:t>, in-</w:t>
      </w:r>
      <w:proofErr w:type="spellStart"/>
      <w:r w:rsidRPr="00C4026F">
        <w:rPr>
          <w:rFonts w:ascii="Palatino Linotype" w:hAnsi="Palatino Linotype" w:cs="Times New Roman"/>
          <w:i/>
          <w:sz w:val="20"/>
          <w:szCs w:val="20"/>
        </w:rPr>
        <w:t>class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tasks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homework</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assignments</w:t>
      </w:r>
      <w:proofErr w:type="spellEnd"/>
      <w:r w:rsidRPr="00C4026F">
        <w:rPr>
          <w:rFonts w:ascii="Palatino Linotype" w:hAnsi="Palatino Linotype" w:cs="Times New Roman"/>
          <w:i/>
          <w:sz w:val="20"/>
          <w:szCs w:val="20"/>
        </w:rPr>
        <w:t>…</w:t>
      </w:r>
      <w:proofErr w:type="spellStart"/>
      <w:r w:rsidRPr="00C4026F">
        <w:rPr>
          <w:rFonts w:ascii="Palatino Linotype" w:hAnsi="Palatino Linotype" w:cs="Times New Roman"/>
          <w:i/>
          <w:sz w:val="20"/>
          <w:szCs w:val="20"/>
        </w:rPr>
        <w:t>etc</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to</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assess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our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mastery</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the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learned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course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materials</w:t>
      </w:r>
      <w:proofErr w:type="spellEnd"/>
      <w:r w:rsidRPr="00C4026F">
        <w:rPr>
          <w:rFonts w:ascii="Palatino Linotype" w:hAnsi="Palatino Linotype" w:cs="Times New Roman"/>
          <w:sz w:val="20"/>
          <w:szCs w:val="20"/>
        </w:rPr>
        <w:t>” şeklinde yer alan madde Türkçe’ye çevrilirken kısmen değiştirilmiş ve “</w:t>
      </w:r>
      <w:r w:rsidRPr="00C4026F">
        <w:rPr>
          <w:rFonts w:ascii="Palatino Linotype" w:hAnsi="Palatino Linotype" w:cs="Times New Roman"/>
          <w:i/>
          <w:sz w:val="20"/>
          <w:szCs w:val="20"/>
        </w:rPr>
        <w:t>Bu sınıfta, öğrencilerin konuyu ne düzeyde anladığını belirlemek için sınıf içi tartışmalar, proje ödevleri, çoktan seçmeli testler, ev ödevleri, yazılı ve sözlü sınavlar gibi farklı görevlerden bazılarının bir arada bulunduğu çeşitli değerlendirme yöntemleri kullanılmaktadır</w:t>
      </w:r>
      <w:r w:rsidRPr="00C4026F">
        <w:rPr>
          <w:rFonts w:ascii="Palatino Linotype" w:hAnsi="Palatino Linotype" w:cs="Times New Roman"/>
          <w:sz w:val="20"/>
          <w:szCs w:val="20"/>
        </w:rPr>
        <w:t>” biçiminde ifade edilmiştir. Ölçülmek istenen yapıyı tam olarak yansıtan bir madde havuzu elde edebilmek için ölçek maddeleri hazırlanırken 2 uzmandan da görüş alınmıştır. Görüşüne başvurulan uzmanlardan ilki ölçme ve değerlendirme, diğeri eğitim programları ve öğretim alanında çalışmaktadır. Her iki uzman da çalışmış oldukları alanda yüksek lisans ve doktora eğitimlerini tamamlamıştır. Uzmanlardan alınan görüşler doğrultusunda “</w:t>
      </w:r>
      <w:r w:rsidRPr="00C4026F">
        <w:rPr>
          <w:rFonts w:ascii="Palatino Linotype" w:hAnsi="Palatino Linotype" w:cs="Times New Roman"/>
          <w:i/>
          <w:sz w:val="20"/>
          <w:szCs w:val="20"/>
        </w:rPr>
        <w:t>Bu sınıfta, sınav sonuçları öğrencinin gelişimine yönelik bilgi vermeyi amaçlar</w:t>
      </w:r>
      <w:r w:rsidRPr="00C4026F">
        <w:rPr>
          <w:rFonts w:ascii="Palatino Linotype" w:hAnsi="Palatino Linotype" w:cs="Times New Roman"/>
          <w:sz w:val="20"/>
          <w:szCs w:val="20"/>
        </w:rPr>
        <w:t xml:space="preserve">” maddesi ölçme aracına eklenmiştir. SDAÖ’nün madde havuzu ölçek geliştirme sürecinde temele alınan ÖODA ve PODA boyutlarından yola çıkılarak oluşturulmuştur. ÖODA boyutunu yansıtan 9 madde ve PODA boyutunu yansıtan 10 madde yazılarak toplamda 19 maddeden oluşan bir madde havuzu elde edilmiştir. Daha sonra </w:t>
      </w:r>
      <w:r w:rsidRPr="00C4026F">
        <w:rPr>
          <w:rFonts w:ascii="Palatino Linotype" w:hAnsi="Palatino Linotype" w:cs="Times New Roman"/>
          <w:sz w:val="20"/>
          <w:szCs w:val="20"/>
        </w:rPr>
        <w:lastRenderedPageBreak/>
        <w:t xml:space="preserve">SDAÖ’nün kapsam ve görünüş geçerliğini sağlamak için 3’ü ölçme değerlendirme, 2’si eğitim programları ve öğretim alanından olmak üzere toplam 5 uzmandan görüş alınmıştır. Bir konu ile ilgili kapsamın belirlenmesi bir yargılamayı gerektirdiğinden uzmanlar ile ölçme aracını geliştiren kişilerin ortak tanımlarının olması gereklidir (Tavşancıl, 2010). Özellikle, birden fazla alt ölçekten oluşan çok boyutlu ölçme araçlarında, ölçülmek istenen yapının farklı boyutlarını belirlemek amacıyla yazılan maddelerin, yer almaları beklenen boyut ile ilgili olup olmadığının uzmanlardan tarafından değerlendirilmesi gerekir (DeVellis, 2003). Bu gerekliliğe bağlı olarak, uzmanlardan, ölçeği, ölçek maddelerinin hazırlanması sürecinde araştırmacılar tarafından temele alınan ÖODA ve PODA boyutları ışında değerlendirmeleri istenmiştir. Uzmanlardan gelen görüşler sonucunda ÖODA boyutundan herhangi bir maddenin çıkarılmasına ihtiyaç olmadığı belirlenmiştir. Öte yandan, </w:t>
      </w:r>
      <w:r w:rsidRPr="00C4026F">
        <w:rPr>
          <w:rFonts w:ascii="Palatino Linotype" w:hAnsi="Palatino Linotype" w:cs="Calibri"/>
          <w:sz w:val="20"/>
          <w:szCs w:val="20"/>
        </w:rPr>
        <w:t>uzmanlardan 3’ü PODA boyutunu yönelik olarak yazılan “</w:t>
      </w:r>
      <w:r w:rsidRPr="00C4026F">
        <w:rPr>
          <w:rFonts w:ascii="Palatino Linotype" w:hAnsi="Palatino Linotype" w:cs="Times New Roman"/>
          <w:i/>
          <w:sz w:val="20"/>
          <w:szCs w:val="20"/>
        </w:rPr>
        <w:t>Bu sınıfta uygulanan sınavlarda yüksek not almak zordur</w:t>
      </w:r>
      <w:r w:rsidRPr="00C4026F">
        <w:rPr>
          <w:rFonts w:ascii="Palatino Linotype" w:hAnsi="Palatino Linotype" w:cs="Times New Roman"/>
          <w:sz w:val="20"/>
          <w:szCs w:val="20"/>
        </w:rPr>
        <w:t xml:space="preserve">” maddesiyle ölçülmek istenen özelliğin yine </w:t>
      </w:r>
      <w:proofErr w:type="spellStart"/>
      <w:r w:rsidRPr="00C4026F">
        <w:rPr>
          <w:rFonts w:ascii="Palatino Linotype" w:hAnsi="Palatino Linotype" w:cs="Times New Roman"/>
          <w:sz w:val="20"/>
          <w:szCs w:val="20"/>
        </w:rPr>
        <w:t>PODA’yı</w:t>
      </w:r>
      <w:proofErr w:type="spellEnd"/>
      <w:r w:rsidRPr="00C4026F">
        <w:rPr>
          <w:rFonts w:ascii="Palatino Linotype" w:hAnsi="Palatino Linotype" w:cs="Times New Roman"/>
          <w:sz w:val="20"/>
          <w:szCs w:val="20"/>
        </w:rPr>
        <w:t xml:space="preserve"> yansıtmak üzere yazılan “</w:t>
      </w:r>
      <w:r w:rsidRPr="00C4026F">
        <w:rPr>
          <w:rFonts w:ascii="Palatino Linotype" w:hAnsi="Palatino Linotype" w:cs="Times New Roman"/>
          <w:i/>
          <w:sz w:val="20"/>
          <w:szCs w:val="20"/>
        </w:rPr>
        <w:t>Bu sınıfta uygulanan sınavlar öğrenciler için zordur</w:t>
      </w:r>
      <w:r w:rsidRPr="00C4026F">
        <w:rPr>
          <w:rFonts w:ascii="Palatino Linotype" w:hAnsi="Palatino Linotype" w:cs="Times New Roman"/>
          <w:sz w:val="20"/>
          <w:szCs w:val="20"/>
        </w:rPr>
        <w:t xml:space="preserve">” maddesi ile daha iyi ölçülebileceğini ifade etmiştir. Dolayısıyla uzmanların ölçekten çıkarılmasını önerdiği söz konusu madde ölçme aracına dâhil edilmemiştir. Bu işlemin ardından ÖODA boyutunu yansıtan 9 madde ve PODA boyutunu yansıtan 9 madde olmak üzere toplamda 18 </w:t>
      </w:r>
      <w:r w:rsidRPr="00C4026F">
        <w:rPr>
          <w:rFonts w:ascii="Palatino Linotype" w:hAnsi="Palatino Linotype" w:cs="Calibri"/>
          <w:sz w:val="20"/>
          <w:szCs w:val="20"/>
        </w:rPr>
        <w:t>maddelik taslak bir ölçme aracı elde edilmiştir. Ölçekteki maddeler, “</w:t>
      </w:r>
      <w:r w:rsidRPr="00C4026F">
        <w:rPr>
          <w:rFonts w:ascii="Palatino Linotype" w:hAnsi="Palatino Linotype" w:cs="Calibri,Italic"/>
          <w:i/>
          <w:iCs/>
          <w:sz w:val="20"/>
          <w:szCs w:val="20"/>
        </w:rPr>
        <w:t>Kesinlikle Katılıyorum (5)”</w:t>
      </w:r>
      <w:r w:rsidRPr="00C4026F">
        <w:rPr>
          <w:rFonts w:ascii="Palatino Linotype" w:hAnsi="Palatino Linotype"/>
          <w:i/>
          <w:sz w:val="20"/>
          <w:szCs w:val="20"/>
        </w:rPr>
        <w:sym w:font="Wingdings" w:char="00E0"/>
      </w:r>
      <w:r w:rsidRPr="00C4026F">
        <w:rPr>
          <w:rFonts w:ascii="Palatino Linotype" w:hAnsi="Palatino Linotype" w:cs="Calibri,Italic"/>
          <w:i/>
          <w:iCs/>
          <w:sz w:val="20"/>
          <w:szCs w:val="20"/>
        </w:rPr>
        <w:t>“Kesinlikle</w:t>
      </w:r>
      <w:r w:rsidRPr="00C4026F">
        <w:rPr>
          <w:rFonts w:ascii="Palatino Linotype" w:hAnsi="Palatino Linotype" w:cs="Calibri"/>
          <w:sz w:val="20"/>
          <w:szCs w:val="20"/>
        </w:rPr>
        <w:t xml:space="preserve"> </w:t>
      </w:r>
      <w:r w:rsidRPr="00C4026F">
        <w:rPr>
          <w:rFonts w:ascii="Palatino Linotype" w:hAnsi="Palatino Linotype" w:cs="Calibri,Italic"/>
          <w:i/>
          <w:iCs/>
          <w:sz w:val="20"/>
          <w:szCs w:val="20"/>
        </w:rPr>
        <w:t xml:space="preserve">Katılmıyorum (1)” </w:t>
      </w:r>
      <w:r w:rsidRPr="00C4026F">
        <w:rPr>
          <w:rFonts w:ascii="Palatino Linotype" w:hAnsi="Palatino Linotype" w:cs="Calibri"/>
          <w:sz w:val="20"/>
          <w:szCs w:val="20"/>
        </w:rPr>
        <w:t xml:space="preserve">şeklinde beşli likert tipi bir derecelendirme ile araştırma grubundaki öğrencilere uygulanmıştır. SDAÖ’den elde edilen ölçümlere dayalı olarak yapılan yorumların yapı geçerliğine ilişkin kanıtlar AFA ve DFA uygulanarak elde edilmiştir. AFA sonucunda, toplam varyansın %31.52’sini açıklayan ve 18 maddeden oluşan iki faktörlü bir yapı elde edilmiştir. Faktörlerde toplanan maddelerin içerikleri ve kuramsal yapı dikkate alınarak birinci faktör ÖODA ve ikinci faktör PODA olarak adlandırılmıştır. </w:t>
      </w:r>
      <w:r w:rsidRPr="00C4026F">
        <w:rPr>
          <w:rFonts w:ascii="Palatino Linotype" w:hAnsi="Palatino Linotype" w:cs="Times New Roman"/>
          <w:sz w:val="20"/>
          <w:szCs w:val="20"/>
        </w:rPr>
        <w:t xml:space="preserve">ÖODA alt ölçeği 9 maddeden oluşmakta ve toplam varyansın %20.93’ünü açıklamaktadır. ÖODA alt ölçeğinde yer alan maddelerin faktör </w:t>
      </w:r>
      <w:proofErr w:type="gramStart"/>
      <w:r w:rsidRPr="00C4026F">
        <w:rPr>
          <w:rFonts w:ascii="Palatino Linotype" w:hAnsi="Palatino Linotype" w:cs="Times New Roman"/>
          <w:sz w:val="20"/>
          <w:szCs w:val="20"/>
        </w:rPr>
        <w:t>yükleri .33</w:t>
      </w:r>
      <w:proofErr w:type="gramEnd"/>
      <w:r w:rsidRPr="00C4026F">
        <w:rPr>
          <w:rFonts w:ascii="Palatino Linotype" w:hAnsi="Palatino Linotype" w:cs="Times New Roman"/>
          <w:sz w:val="20"/>
          <w:szCs w:val="20"/>
        </w:rPr>
        <w:t xml:space="preserve"> ile .63 arasında değişmektedir. PODA alt ölçeği 9 maddeden oluşmakta ve açıklanan toplam varyansa %10.60’lık bir katkı sağlamaktadır. PODA boyutunda bulunan maddelerin faktör </w:t>
      </w:r>
      <w:proofErr w:type="gramStart"/>
      <w:r w:rsidRPr="00C4026F">
        <w:rPr>
          <w:rFonts w:ascii="Palatino Linotype" w:hAnsi="Palatino Linotype" w:cs="Times New Roman"/>
          <w:sz w:val="20"/>
          <w:szCs w:val="20"/>
        </w:rPr>
        <w:t>yükleri .33</w:t>
      </w:r>
      <w:proofErr w:type="gramEnd"/>
      <w:r w:rsidRPr="00C4026F">
        <w:rPr>
          <w:rFonts w:ascii="Palatino Linotype" w:hAnsi="Palatino Linotype" w:cs="Times New Roman"/>
          <w:sz w:val="20"/>
          <w:szCs w:val="20"/>
        </w:rPr>
        <w:t xml:space="preserve"> ile .69 arasında sıralanmaktadır.</w:t>
      </w:r>
      <w:r w:rsidRPr="00C4026F">
        <w:rPr>
          <w:rFonts w:ascii="Palatino Linotype" w:hAnsi="Palatino Linotype" w:cs="Calibri"/>
          <w:sz w:val="20"/>
          <w:szCs w:val="20"/>
        </w:rPr>
        <w:t xml:space="preserve"> </w:t>
      </w:r>
      <w:r w:rsidRPr="00C4026F">
        <w:rPr>
          <w:rFonts w:ascii="Palatino Linotype" w:hAnsi="Palatino Linotype" w:cs="Times New Roman"/>
          <w:sz w:val="20"/>
          <w:szCs w:val="20"/>
        </w:rPr>
        <w:t>AFA sonuçlarını doğrulamak ve teorik olarak kurgulanan ölçüm modelini sınamak amacıyla DFA’da uygulanmıştır.</w:t>
      </w:r>
      <w:r w:rsidRPr="00C4026F">
        <w:rPr>
          <w:rFonts w:ascii="Palatino Linotype" w:hAnsi="Palatino Linotype" w:cs="Calibri"/>
          <w:sz w:val="20"/>
          <w:szCs w:val="20"/>
        </w:rPr>
        <w:t xml:space="preserve"> DFA’dan elde edilen bulgular, SDAÖ’ye ilişkin iki faktörlü yapıya ait uyum indekslerinin (</w:t>
      </w:r>
      <w:r w:rsidRPr="00C4026F">
        <w:rPr>
          <w:rFonts w:ascii="Palatino Linotype" w:hAnsi="Palatino Linotype" w:cs="Times New Roman"/>
          <w:sz w:val="20"/>
          <w:szCs w:val="20"/>
        </w:rPr>
        <w:t>χ</w:t>
      </w:r>
      <w:r w:rsidRPr="00C4026F">
        <w:rPr>
          <w:rFonts w:ascii="Palatino Linotype" w:hAnsi="Palatino Linotype" w:cs="Times New Roman"/>
          <w:sz w:val="20"/>
          <w:szCs w:val="20"/>
          <w:vertAlign w:val="superscript"/>
        </w:rPr>
        <w:t>2</w:t>
      </w:r>
      <w:r w:rsidRPr="00C4026F">
        <w:rPr>
          <w:rFonts w:ascii="Palatino Linotype" w:hAnsi="Palatino Linotype" w:cs="Times New Roman"/>
          <w:sz w:val="20"/>
          <w:szCs w:val="20"/>
        </w:rPr>
        <w:t>/sd</w:t>
      </w:r>
      <w:r w:rsidRPr="00C4026F">
        <w:rPr>
          <w:rFonts w:ascii="Palatino Linotype" w:hAnsi="Palatino Linotype" w:cs="Times New Roman"/>
          <w:i/>
          <w:sz w:val="20"/>
          <w:szCs w:val="20"/>
        </w:rPr>
        <w:t>=</w:t>
      </w:r>
      <w:r w:rsidRPr="00C4026F">
        <w:rPr>
          <w:rFonts w:ascii="Palatino Linotype" w:hAnsi="Palatino Linotype" w:cs="Times New Roman"/>
          <w:sz w:val="20"/>
          <w:szCs w:val="20"/>
        </w:rPr>
        <w:t>1.84,</w:t>
      </w:r>
      <w:r w:rsidRPr="00C4026F">
        <w:rPr>
          <w:rFonts w:ascii="Palatino Linotype" w:hAnsi="Palatino Linotype" w:cs="Times New Roman"/>
          <w:i/>
          <w:sz w:val="20"/>
          <w:szCs w:val="20"/>
        </w:rPr>
        <w:t xml:space="preserve"> </w:t>
      </w:r>
      <w:r w:rsidRPr="00C4026F">
        <w:rPr>
          <w:rFonts w:ascii="Palatino Linotype" w:hAnsi="Palatino Linotype" w:cs="Times New Roman"/>
          <w:sz w:val="20"/>
          <w:szCs w:val="20"/>
        </w:rPr>
        <w:t>GFI=.91, AGFI=.88, CFI=.9</w:t>
      </w:r>
      <w:r w:rsidR="00651071" w:rsidRPr="00C4026F">
        <w:rPr>
          <w:rFonts w:ascii="Palatino Linotype" w:hAnsi="Palatino Linotype" w:cs="Times New Roman"/>
          <w:sz w:val="20"/>
          <w:szCs w:val="20"/>
        </w:rPr>
        <w:t>1</w:t>
      </w:r>
      <w:r w:rsidRPr="00C4026F">
        <w:rPr>
          <w:rFonts w:ascii="Palatino Linotype" w:hAnsi="Palatino Linotype" w:cs="Times New Roman"/>
          <w:sz w:val="20"/>
          <w:szCs w:val="20"/>
        </w:rPr>
        <w:t xml:space="preserve">, NFI=.91, NNFI=95, IFI=.96, RMSEA=.056, SRMR=.056, PNFI=.79 ve PGFI=.71) </w:t>
      </w:r>
      <w:r w:rsidRPr="00C4026F">
        <w:rPr>
          <w:rFonts w:ascii="Palatino Linotype" w:hAnsi="Palatino Linotype" w:cs="Calibri"/>
          <w:sz w:val="20"/>
          <w:szCs w:val="20"/>
        </w:rPr>
        <w:t xml:space="preserve">yeterli olduğunu göstermiştir. AFA’da açıklanan varyans oranı için %30 ve üzerindeki değerlerin ölçüt olarak alındığı (Bayram, 2009; Büyüköztürk, 2010), ölçekte yer alan maddelere ait faktör </w:t>
      </w:r>
      <w:proofErr w:type="gramStart"/>
      <w:r w:rsidRPr="00C4026F">
        <w:rPr>
          <w:rFonts w:ascii="Palatino Linotype" w:hAnsi="Palatino Linotype" w:cs="Calibri"/>
          <w:sz w:val="20"/>
          <w:szCs w:val="20"/>
        </w:rPr>
        <w:t>yüklerinin .30</w:t>
      </w:r>
      <w:proofErr w:type="gramEnd"/>
      <w:r w:rsidRPr="00C4026F">
        <w:rPr>
          <w:rFonts w:ascii="Palatino Linotype" w:hAnsi="Palatino Linotype" w:cs="Calibri"/>
          <w:sz w:val="20"/>
          <w:szCs w:val="20"/>
        </w:rPr>
        <w:t xml:space="preserve"> alt sınırının (</w:t>
      </w:r>
      <w:proofErr w:type="spellStart"/>
      <w:r w:rsidRPr="00C4026F">
        <w:rPr>
          <w:rFonts w:ascii="Palatino Linotype" w:hAnsi="Palatino Linotype" w:cs="Calibri"/>
          <w:sz w:val="20"/>
          <w:szCs w:val="20"/>
        </w:rPr>
        <w:t>Costello</w:t>
      </w:r>
      <w:proofErr w:type="spellEnd"/>
      <w:r w:rsidRPr="00C4026F">
        <w:rPr>
          <w:rFonts w:ascii="Palatino Linotype" w:hAnsi="Palatino Linotype" w:cs="Calibri"/>
          <w:sz w:val="20"/>
          <w:szCs w:val="20"/>
        </w:rPr>
        <w:t xml:space="preserve"> ve </w:t>
      </w:r>
      <w:proofErr w:type="spellStart"/>
      <w:r w:rsidRPr="00C4026F">
        <w:rPr>
          <w:rFonts w:ascii="Palatino Linotype" w:hAnsi="Palatino Linotype" w:cs="Calibri"/>
          <w:sz w:val="20"/>
          <w:szCs w:val="20"/>
        </w:rPr>
        <w:t>Osborne</w:t>
      </w:r>
      <w:proofErr w:type="spellEnd"/>
      <w:r w:rsidRPr="00C4026F">
        <w:rPr>
          <w:rFonts w:ascii="Palatino Linotype" w:hAnsi="Palatino Linotype" w:cs="Calibri"/>
          <w:sz w:val="20"/>
          <w:szCs w:val="20"/>
        </w:rPr>
        <w:t xml:space="preserve">, 2005; </w:t>
      </w:r>
      <w:proofErr w:type="spellStart"/>
      <w:r w:rsidRPr="00C4026F">
        <w:rPr>
          <w:rFonts w:ascii="Palatino Linotype" w:hAnsi="Palatino Linotype" w:cs="Calibri"/>
          <w:sz w:val="20"/>
          <w:szCs w:val="20"/>
        </w:rPr>
        <w:t>Pallant</w:t>
      </w:r>
      <w:proofErr w:type="spellEnd"/>
      <w:r w:rsidRPr="00C4026F">
        <w:rPr>
          <w:rFonts w:ascii="Palatino Linotype" w:hAnsi="Palatino Linotype" w:cs="Calibri"/>
          <w:sz w:val="20"/>
          <w:szCs w:val="20"/>
        </w:rPr>
        <w:t xml:space="preserve">, 2005) üzerinde olduğu ve DFA’dan elde edilen uyum indekslerinin kabul edilebilir sınırlar içerisinde yer aldığı dikkate alındığında, SDAÖ’den elde edilen ölçümlerin yapı geçerliğinin sağlandığı söylenebilir. SDAÖ’ye ilişkin ölçümlerin güvenirliği, Cronbach Alfa, bileşik güvenirlik ve test tekrar test yöntemleriyle incelenmiştir. Hesaplanan Cronbach Alfa güvenirlik katsayıları hem ÖODA hem de PODA alt ölçeğinden elde edilen ölçümler </w:t>
      </w:r>
      <w:proofErr w:type="gramStart"/>
      <w:r w:rsidRPr="00C4026F">
        <w:rPr>
          <w:rFonts w:ascii="Palatino Linotype" w:hAnsi="Palatino Linotype" w:cs="Calibri"/>
          <w:sz w:val="20"/>
          <w:szCs w:val="20"/>
        </w:rPr>
        <w:t>için .73</w:t>
      </w:r>
      <w:proofErr w:type="gramEnd"/>
      <w:r w:rsidRPr="00C4026F">
        <w:rPr>
          <w:rFonts w:ascii="Palatino Linotype" w:hAnsi="Palatino Linotype" w:cs="Calibri"/>
          <w:sz w:val="20"/>
          <w:szCs w:val="20"/>
        </w:rPr>
        <w:t xml:space="preserve"> şeklindedir. </w:t>
      </w:r>
      <w:r w:rsidRPr="00C4026F">
        <w:rPr>
          <w:rFonts w:ascii="Palatino Linotype" w:hAnsi="Palatino Linotype" w:cs="Times New Roman"/>
          <w:sz w:val="20"/>
          <w:szCs w:val="20"/>
        </w:rPr>
        <w:t xml:space="preserve">Ölçümlerin bileşik güvenirlik katsayıları; ÖODA alt ölçeği </w:t>
      </w:r>
      <w:proofErr w:type="gramStart"/>
      <w:r w:rsidRPr="00C4026F">
        <w:rPr>
          <w:rFonts w:ascii="Palatino Linotype" w:hAnsi="Palatino Linotype" w:cs="Times New Roman"/>
          <w:sz w:val="20"/>
          <w:szCs w:val="20"/>
        </w:rPr>
        <w:t>için .75</w:t>
      </w:r>
      <w:proofErr w:type="gramEnd"/>
      <w:r w:rsidRPr="00C4026F">
        <w:rPr>
          <w:rFonts w:ascii="Palatino Linotype" w:hAnsi="Palatino Linotype" w:cs="Times New Roman"/>
          <w:sz w:val="20"/>
          <w:szCs w:val="20"/>
        </w:rPr>
        <w:t xml:space="preserve">; PODA için ise .76 olarak bulunmuştur. Test-tekrar test güvenirlik katsayıları ise, her iki alt ölçekten elde edilen ölçümler için </w:t>
      </w:r>
      <w:proofErr w:type="gramStart"/>
      <w:r w:rsidRPr="00C4026F">
        <w:rPr>
          <w:rFonts w:ascii="Palatino Linotype" w:hAnsi="Palatino Linotype" w:cs="Times New Roman"/>
          <w:sz w:val="20"/>
          <w:szCs w:val="20"/>
        </w:rPr>
        <w:t>de .93</w:t>
      </w:r>
      <w:proofErr w:type="gramEnd"/>
      <w:r w:rsidRPr="00C4026F">
        <w:rPr>
          <w:rFonts w:ascii="Palatino Linotype" w:hAnsi="Palatino Linotype" w:cs="Times New Roman"/>
          <w:sz w:val="20"/>
          <w:szCs w:val="20"/>
        </w:rPr>
        <w:t xml:space="preserve"> olarak hesaplanmıştır.</w:t>
      </w:r>
      <w:r w:rsidRPr="00C4026F">
        <w:rPr>
          <w:rFonts w:ascii="Palatino Linotype" w:hAnsi="Palatino Linotype" w:cs="Calibri"/>
          <w:sz w:val="20"/>
          <w:szCs w:val="20"/>
        </w:rPr>
        <w:t xml:space="preserve"> Güvenirlik </w:t>
      </w:r>
      <w:proofErr w:type="gramStart"/>
      <w:r w:rsidRPr="00C4026F">
        <w:rPr>
          <w:rFonts w:ascii="Palatino Linotype" w:hAnsi="Palatino Linotype" w:cs="Calibri"/>
          <w:sz w:val="20"/>
          <w:szCs w:val="20"/>
        </w:rPr>
        <w:t>katsayısı .70</w:t>
      </w:r>
      <w:proofErr w:type="gramEnd"/>
      <w:r w:rsidRPr="00C4026F">
        <w:rPr>
          <w:rFonts w:ascii="Palatino Linotype" w:hAnsi="Palatino Linotype" w:cs="Calibri"/>
          <w:sz w:val="20"/>
          <w:szCs w:val="20"/>
        </w:rPr>
        <w:t xml:space="preserve"> ve üzerinde olan ölçümlerin güvenilir olduğu kabul edilmektedir (</w:t>
      </w:r>
      <w:proofErr w:type="spellStart"/>
      <w:r w:rsidRPr="00C4026F">
        <w:rPr>
          <w:rFonts w:ascii="Palatino Linotype" w:hAnsi="Palatino Linotype" w:cs="Calibri"/>
          <w:sz w:val="20"/>
          <w:szCs w:val="20"/>
        </w:rPr>
        <w:t>Tezbaşaran</w:t>
      </w:r>
      <w:proofErr w:type="spellEnd"/>
      <w:r w:rsidRPr="00C4026F">
        <w:rPr>
          <w:rFonts w:ascii="Palatino Linotype" w:hAnsi="Palatino Linotype" w:cs="Calibri"/>
          <w:sz w:val="20"/>
          <w:szCs w:val="20"/>
        </w:rPr>
        <w:t xml:space="preserve">, 1997). Buna göre, </w:t>
      </w:r>
      <w:r w:rsidRPr="00C4026F">
        <w:rPr>
          <w:rFonts w:ascii="Palatino Linotype" w:hAnsi="Palatino Linotype" w:cs="Times New Roman"/>
          <w:sz w:val="20"/>
          <w:szCs w:val="20"/>
        </w:rPr>
        <w:t>hesaplanan güvenirlik katsayılarının yeterli olduğu söylenebilir</w:t>
      </w:r>
      <w:r w:rsidRPr="00C4026F">
        <w:rPr>
          <w:rFonts w:ascii="Palatino Linotype" w:hAnsi="Palatino Linotype" w:cs="Calibri"/>
          <w:sz w:val="20"/>
          <w:szCs w:val="20"/>
        </w:rPr>
        <w:t xml:space="preserve">. SDAÖ’de yer alan maddelerin toplam puanı yordama gücünü belirlemek ve ayırt edicilik düzeylerini saptamak amacıyla madde analizi yapılmıştır. Madde analizi kapsamında, düzeltilmiş madde toplam </w:t>
      </w:r>
      <w:proofErr w:type="gramStart"/>
      <w:r w:rsidRPr="00C4026F">
        <w:rPr>
          <w:rFonts w:ascii="Palatino Linotype" w:hAnsi="Palatino Linotype" w:cs="Calibri"/>
          <w:sz w:val="20"/>
          <w:szCs w:val="20"/>
        </w:rPr>
        <w:t>korelasyonu</w:t>
      </w:r>
      <w:proofErr w:type="gramEnd"/>
      <w:r w:rsidRPr="00C4026F">
        <w:rPr>
          <w:rFonts w:ascii="Palatino Linotype" w:hAnsi="Palatino Linotype" w:cs="Calibri"/>
          <w:sz w:val="20"/>
          <w:szCs w:val="20"/>
        </w:rPr>
        <w:t xml:space="preserve"> incelenmiş ve %27’lik alt-üst grup karşılaştırmalarına yer verilmiştir. Analiz sonucunda, düzeltilmiş madde toplam korelasyonlarının ÖODA alt ölçeği </w:t>
      </w:r>
      <w:proofErr w:type="gramStart"/>
      <w:r w:rsidRPr="00C4026F">
        <w:rPr>
          <w:rFonts w:ascii="Palatino Linotype" w:hAnsi="Palatino Linotype" w:cs="Calibri"/>
          <w:sz w:val="20"/>
          <w:szCs w:val="20"/>
        </w:rPr>
        <w:t>için .32</w:t>
      </w:r>
      <w:proofErr w:type="gramEnd"/>
      <w:r w:rsidRPr="00C4026F">
        <w:rPr>
          <w:rFonts w:ascii="Palatino Linotype" w:hAnsi="Palatino Linotype" w:cs="Calibri"/>
          <w:sz w:val="20"/>
          <w:szCs w:val="20"/>
        </w:rPr>
        <w:t xml:space="preserve"> ile .52 arasında, PODA alt ölçeği için ise .26 ile .54 arasında sıralandığı ve %27’lik alt ve üst grup arasındaki farklara ilişkin </w:t>
      </w:r>
      <w:r w:rsidRPr="00C4026F">
        <w:rPr>
          <w:rFonts w:ascii="Palatino Linotype" w:hAnsi="Palatino Linotype" w:cs="Calibri"/>
          <w:i/>
          <w:sz w:val="20"/>
          <w:szCs w:val="20"/>
        </w:rPr>
        <w:t>t</w:t>
      </w:r>
      <w:r w:rsidRPr="00C4026F">
        <w:rPr>
          <w:rFonts w:ascii="Palatino Linotype" w:hAnsi="Palatino Linotype" w:cs="Calibri"/>
          <w:sz w:val="20"/>
          <w:szCs w:val="20"/>
        </w:rPr>
        <w:t xml:space="preserve"> değerlerin ölçekte yer alan tüm maddeler için anlamlı olduğu belirlenmiştir. Düzeltilmiş madde toplam </w:t>
      </w:r>
      <w:proofErr w:type="gramStart"/>
      <w:r w:rsidRPr="00C4026F">
        <w:rPr>
          <w:rFonts w:ascii="Palatino Linotype" w:hAnsi="Palatino Linotype" w:cs="Calibri"/>
          <w:sz w:val="20"/>
          <w:szCs w:val="20"/>
        </w:rPr>
        <w:t>korelasyonlarının .30’un</w:t>
      </w:r>
      <w:proofErr w:type="gramEnd"/>
      <w:r w:rsidRPr="00C4026F">
        <w:rPr>
          <w:rFonts w:ascii="Palatino Linotype" w:hAnsi="Palatino Linotype" w:cs="Calibri"/>
          <w:sz w:val="20"/>
          <w:szCs w:val="20"/>
        </w:rPr>
        <w:t xml:space="preserve"> üstünde yer alması ve %27’lik alt üst grup karşılaştırmaları sonucunda elde edilen </w:t>
      </w:r>
      <w:r w:rsidRPr="00C4026F">
        <w:rPr>
          <w:rFonts w:ascii="Palatino Linotype" w:hAnsi="Palatino Linotype" w:cs="Calibri"/>
          <w:i/>
          <w:sz w:val="20"/>
          <w:szCs w:val="20"/>
        </w:rPr>
        <w:t>t</w:t>
      </w:r>
      <w:r w:rsidRPr="00C4026F">
        <w:rPr>
          <w:rFonts w:ascii="Palatino Linotype" w:hAnsi="Palatino Linotype" w:cs="Calibri"/>
          <w:sz w:val="20"/>
          <w:szCs w:val="20"/>
        </w:rPr>
        <w:t xml:space="preserve"> değerlerinin anlamlı olması maddenin ayırt ediciliğine yönelik bir kanıt olarak değerlendirilmektedir (Erkuş, 2012). Bu ölçütlere göre, SDAÖ’de yer alan maddelerin tamamının ayırt edici olduğu ifade edilebilir. </w:t>
      </w:r>
      <w:r w:rsidRPr="00C4026F">
        <w:rPr>
          <w:rFonts w:ascii="Palatino Linotype" w:hAnsi="Palatino Linotype" w:cs="Times New Roman"/>
          <w:sz w:val="20"/>
          <w:szCs w:val="20"/>
        </w:rPr>
        <w:t xml:space="preserve">SDAÖ’nün boyutları, her bir boyuta ilişkin örnek madde ile bu boyutlardan elde edilen ölçümler için hesaplanan Cronbach Alfa, bileşik güvenirlik ve test tekrar test güvenirlik katsayıları Tablo 2’de ayrıca sunulmuştur. </w:t>
      </w:r>
    </w:p>
    <w:tbl>
      <w:tblPr>
        <w:tblStyle w:val="TabloKlavuzu"/>
        <w:tblW w:w="9072" w:type="dxa"/>
        <w:tblBorders>
          <w:top w:val="single" w:sz="2" w:space="0" w:color="auto"/>
          <w:left w:val="none" w:sz="0" w:space="0" w:color="auto"/>
          <w:bottom w:val="single" w:sz="2" w:space="0" w:color="auto"/>
          <w:right w:val="none" w:sz="0" w:space="0" w:color="auto"/>
          <w:insideH w:val="single" w:sz="2" w:space="0" w:color="auto"/>
          <w:insideV w:val="none" w:sz="0" w:space="0" w:color="auto"/>
        </w:tblBorders>
        <w:tblLayout w:type="fixed"/>
        <w:tblCellMar>
          <w:left w:w="0" w:type="dxa"/>
          <w:right w:w="0" w:type="dxa"/>
        </w:tblCellMar>
        <w:tblLook w:val="04A0" w:firstRow="1" w:lastRow="0" w:firstColumn="1" w:lastColumn="0" w:noHBand="0" w:noVBand="1"/>
      </w:tblPr>
      <w:tblGrid>
        <w:gridCol w:w="888"/>
        <w:gridCol w:w="773"/>
        <w:gridCol w:w="3706"/>
        <w:gridCol w:w="1154"/>
        <w:gridCol w:w="1134"/>
        <w:gridCol w:w="1417"/>
      </w:tblGrid>
      <w:tr w:rsidR="00F54D8B" w:rsidRPr="00C4026F" w:rsidTr="005137D6">
        <w:trPr>
          <w:trHeight w:val="20"/>
        </w:trPr>
        <w:tc>
          <w:tcPr>
            <w:tcW w:w="9072" w:type="dxa"/>
            <w:gridSpan w:val="6"/>
            <w:tcBorders>
              <w:top w:val="nil"/>
            </w:tcBorders>
            <w:shd w:val="clear" w:color="auto" w:fill="auto"/>
            <w:vAlign w:val="center"/>
          </w:tcPr>
          <w:p w:rsidR="00F54D8B" w:rsidRPr="00C4026F" w:rsidRDefault="00ED05CF" w:rsidP="009474C6">
            <w:pPr>
              <w:spacing w:after="20"/>
              <w:rPr>
                <w:rFonts w:ascii="Palatino Linotype" w:hAnsi="Palatino Linotype"/>
                <w:sz w:val="20"/>
                <w:szCs w:val="20"/>
              </w:rPr>
            </w:pPr>
            <w:r w:rsidRPr="00C4026F">
              <w:rPr>
                <w:rFonts w:ascii="Palatino Linotype" w:hAnsi="Palatino Linotype" w:cs="Times New Roman"/>
                <w:b/>
                <w:sz w:val="20"/>
                <w:szCs w:val="20"/>
              </w:rPr>
              <w:lastRenderedPageBreak/>
              <w:t>Tablo 2.</w:t>
            </w:r>
            <w:r w:rsidRPr="00C4026F">
              <w:rPr>
                <w:rFonts w:ascii="Palatino Linotype" w:hAnsi="Palatino Linotype" w:cs="Times New Roman"/>
                <w:sz w:val="20"/>
                <w:szCs w:val="20"/>
              </w:rPr>
              <w:t xml:space="preserve"> </w:t>
            </w:r>
            <w:r w:rsidRPr="00C4026F">
              <w:rPr>
                <w:rFonts w:ascii="Palatino Linotype" w:hAnsi="Palatino Linotype"/>
                <w:sz w:val="20"/>
                <w:szCs w:val="20"/>
              </w:rPr>
              <w:t>SDAÖ’nün Boyutlarındaki Madde Sayıları, Her Bir Boyuta İlişkin Örnek Maddeler ile Ölçümlere İlişkin Güvenirlik Katsayıları</w:t>
            </w:r>
          </w:p>
        </w:tc>
      </w:tr>
      <w:tr w:rsidR="00302BB9" w:rsidRPr="00C4026F" w:rsidTr="005137D6">
        <w:trPr>
          <w:trHeight w:val="20"/>
        </w:trPr>
        <w:tc>
          <w:tcPr>
            <w:tcW w:w="888" w:type="dxa"/>
            <w:shd w:val="clear" w:color="auto" w:fill="auto"/>
            <w:vAlign w:val="center"/>
          </w:tcPr>
          <w:p w:rsidR="00302BB9" w:rsidRPr="00D471AB" w:rsidRDefault="00302BB9" w:rsidP="008575F6">
            <w:pPr>
              <w:jc w:val="center"/>
              <w:rPr>
                <w:rFonts w:ascii="Palatino Linotype" w:hAnsi="Palatino Linotype"/>
                <w:b/>
                <w:sz w:val="20"/>
                <w:szCs w:val="20"/>
              </w:rPr>
            </w:pPr>
            <w:r w:rsidRPr="00D471AB">
              <w:rPr>
                <w:rFonts w:ascii="Palatino Linotype" w:hAnsi="Palatino Linotype"/>
                <w:b/>
                <w:sz w:val="20"/>
                <w:szCs w:val="20"/>
              </w:rPr>
              <w:t>Boyutlar</w:t>
            </w:r>
          </w:p>
        </w:tc>
        <w:tc>
          <w:tcPr>
            <w:tcW w:w="773" w:type="dxa"/>
            <w:shd w:val="clear" w:color="auto" w:fill="auto"/>
            <w:vAlign w:val="center"/>
          </w:tcPr>
          <w:p w:rsidR="00302BB9" w:rsidRPr="00D471AB" w:rsidRDefault="00302BB9" w:rsidP="008575F6">
            <w:pPr>
              <w:jc w:val="center"/>
              <w:rPr>
                <w:rFonts w:ascii="Palatino Linotype" w:hAnsi="Palatino Linotype"/>
                <w:b/>
                <w:sz w:val="20"/>
                <w:szCs w:val="20"/>
              </w:rPr>
            </w:pPr>
            <w:r w:rsidRPr="00D471AB">
              <w:rPr>
                <w:rFonts w:ascii="Palatino Linotype" w:hAnsi="Palatino Linotype"/>
                <w:b/>
                <w:sz w:val="20"/>
                <w:szCs w:val="20"/>
              </w:rPr>
              <w:t>Madde</w:t>
            </w:r>
          </w:p>
          <w:p w:rsidR="00302BB9" w:rsidRPr="00D471AB" w:rsidRDefault="00302BB9" w:rsidP="008575F6">
            <w:pPr>
              <w:jc w:val="center"/>
              <w:rPr>
                <w:rFonts w:ascii="Palatino Linotype" w:hAnsi="Palatino Linotype"/>
                <w:b/>
                <w:sz w:val="20"/>
                <w:szCs w:val="20"/>
              </w:rPr>
            </w:pPr>
            <w:r w:rsidRPr="00D471AB">
              <w:rPr>
                <w:rFonts w:ascii="Palatino Linotype" w:hAnsi="Palatino Linotype"/>
                <w:b/>
                <w:sz w:val="20"/>
                <w:szCs w:val="20"/>
              </w:rPr>
              <w:t>Sayısı</w:t>
            </w:r>
          </w:p>
        </w:tc>
        <w:tc>
          <w:tcPr>
            <w:tcW w:w="3706" w:type="dxa"/>
            <w:shd w:val="clear" w:color="auto" w:fill="auto"/>
            <w:vAlign w:val="center"/>
          </w:tcPr>
          <w:p w:rsidR="00302BB9" w:rsidRPr="00D471AB" w:rsidRDefault="00302BB9" w:rsidP="008575F6">
            <w:pPr>
              <w:jc w:val="center"/>
              <w:rPr>
                <w:rFonts w:ascii="Palatino Linotype" w:hAnsi="Palatino Linotype"/>
                <w:b/>
                <w:sz w:val="20"/>
                <w:szCs w:val="20"/>
              </w:rPr>
            </w:pPr>
            <w:r w:rsidRPr="00D471AB">
              <w:rPr>
                <w:rFonts w:ascii="Palatino Linotype" w:hAnsi="Palatino Linotype"/>
                <w:b/>
                <w:sz w:val="20"/>
                <w:szCs w:val="20"/>
              </w:rPr>
              <w:t>Örnek Madde</w:t>
            </w:r>
          </w:p>
        </w:tc>
        <w:tc>
          <w:tcPr>
            <w:tcW w:w="1154" w:type="dxa"/>
            <w:shd w:val="clear" w:color="auto" w:fill="auto"/>
            <w:vAlign w:val="center"/>
          </w:tcPr>
          <w:p w:rsidR="00302BB9" w:rsidRPr="00D471AB" w:rsidRDefault="00302BB9" w:rsidP="008575F6">
            <w:pPr>
              <w:jc w:val="center"/>
              <w:rPr>
                <w:rFonts w:ascii="Palatino Linotype" w:hAnsi="Palatino Linotype"/>
                <w:b/>
                <w:sz w:val="20"/>
                <w:szCs w:val="20"/>
              </w:rPr>
            </w:pPr>
            <w:r w:rsidRPr="00D471AB">
              <w:rPr>
                <w:rFonts w:ascii="Palatino Linotype" w:hAnsi="Palatino Linotype"/>
                <w:b/>
                <w:sz w:val="20"/>
                <w:szCs w:val="20"/>
              </w:rPr>
              <w:t>Cronbach Alfa</w:t>
            </w:r>
          </w:p>
        </w:tc>
        <w:tc>
          <w:tcPr>
            <w:tcW w:w="1134" w:type="dxa"/>
            <w:shd w:val="clear" w:color="auto" w:fill="auto"/>
            <w:vAlign w:val="center"/>
          </w:tcPr>
          <w:p w:rsidR="00302BB9" w:rsidRPr="00D471AB" w:rsidRDefault="00302BB9" w:rsidP="008575F6">
            <w:pPr>
              <w:jc w:val="center"/>
              <w:rPr>
                <w:rFonts w:ascii="Palatino Linotype" w:hAnsi="Palatino Linotype"/>
                <w:b/>
                <w:sz w:val="20"/>
                <w:szCs w:val="20"/>
              </w:rPr>
            </w:pPr>
            <w:r w:rsidRPr="00D471AB">
              <w:rPr>
                <w:rFonts w:ascii="Palatino Linotype" w:hAnsi="Palatino Linotype"/>
                <w:b/>
                <w:sz w:val="20"/>
                <w:szCs w:val="20"/>
              </w:rPr>
              <w:t>Bileşik Güvenirlik</w:t>
            </w:r>
          </w:p>
        </w:tc>
        <w:tc>
          <w:tcPr>
            <w:tcW w:w="1417" w:type="dxa"/>
            <w:shd w:val="clear" w:color="auto" w:fill="auto"/>
            <w:vAlign w:val="center"/>
          </w:tcPr>
          <w:p w:rsidR="00302BB9" w:rsidRPr="00D471AB" w:rsidRDefault="00302BB9" w:rsidP="008575F6">
            <w:pPr>
              <w:jc w:val="center"/>
              <w:rPr>
                <w:rFonts w:ascii="Palatino Linotype" w:hAnsi="Palatino Linotype"/>
                <w:b/>
                <w:sz w:val="20"/>
                <w:szCs w:val="20"/>
              </w:rPr>
            </w:pPr>
            <w:r w:rsidRPr="00D471AB">
              <w:rPr>
                <w:rFonts w:ascii="Palatino Linotype" w:hAnsi="Palatino Linotype"/>
                <w:b/>
                <w:sz w:val="20"/>
                <w:szCs w:val="20"/>
              </w:rPr>
              <w:t>Test Tekrar</w:t>
            </w:r>
          </w:p>
          <w:p w:rsidR="00302BB9" w:rsidRPr="00D471AB" w:rsidRDefault="00302BB9" w:rsidP="008575F6">
            <w:pPr>
              <w:jc w:val="center"/>
              <w:rPr>
                <w:rFonts w:ascii="Palatino Linotype" w:hAnsi="Palatino Linotype"/>
                <w:b/>
                <w:sz w:val="20"/>
                <w:szCs w:val="20"/>
              </w:rPr>
            </w:pPr>
            <w:r w:rsidRPr="00D471AB">
              <w:rPr>
                <w:rFonts w:ascii="Palatino Linotype" w:hAnsi="Palatino Linotype"/>
                <w:b/>
                <w:sz w:val="20"/>
                <w:szCs w:val="20"/>
              </w:rPr>
              <w:t>Test Güvenirliği</w:t>
            </w:r>
          </w:p>
        </w:tc>
      </w:tr>
      <w:tr w:rsidR="00302BB9" w:rsidRPr="00C4026F" w:rsidTr="005137D6">
        <w:trPr>
          <w:trHeight w:val="20"/>
        </w:trPr>
        <w:tc>
          <w:tcPr>
            <w:tcW w:w="888" w:type="dxa"/>
            <w:shd w:val="clear" w:color="auto" w:fill="auto"/>
            <w:vAlign w:val="center"/>
          </w:tcPr>
          <w:p w:rsidR="00302BB9" w:rsidRPr="00C4026F" w:rsidRDefault="00302BB9" w:rsidP="008575F6">
            <w:pPr>
              <w:rPr>
                <w:rFonts w:ascii="Palatino Linotype" w:hAnsi="Palatino Linotype"/>
                <w:sz w:val="20"/>
                <w:szCs w:val="20"/>
              </w:rPr>
            </w:pPr>
            <w:r w:rsidRPr="00C4026F">
              <w:rPr>
                <w:rFonts w:ascii="Palatino Linotype" w:hAnsi="Palatino Linotype"/>
                <w:sz w:val="20"/>
                <w:szCs w:val="20"/>
              </w:rPr>
              <w:t>ÖODA</w:t>
            </w:r>
          </w:p>
        </w:tc>
        <w:tc>
          <w:tcPr>
            <w:tcW w:w="773" w:type="dxa"/>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9</w:t>
            </w:r>
          </w:p>
        </w:tc>
        <w:tc>
          <w:tcPr>
            <w:tcW w:w="3706" w:type="dxa"/>
            <w:shd w:val="clear" w:color="auto" w:fill="auto"/>
            <w:vAlign w:val="center"/>
          </w:tcPr>
          <w:p w:rsidR="00302BB9" w:rsidRPr="00C4026F" w:rsidRDefault="005E73B0" w:rsidP="00F54D8B">
            <w:pPr>
              <w:rPr>
                <w:rFonts w:ascii="Palatino Linotype" w:hAnsi="Palatino Linotype"/>
                <w:sz w:val="20"/>
                <w:szCs w:val="20"/>
              </w:rPr>
            </w:pPr>
            <w:r w:rsidRPr="00C4026F">
              <w:rPr>
                <w:rFonts w:ascii="Palatino Linotype" w:hAnsi="Palatino Linotype"/>
                <w:sz w:val="20"/>
                <w:szCs w:val="20"/>
              </w:rPr>
              <w:t>Bu sınıfta uygulanan değerlendirme etkinlikleri öğrencilerin güçlü ve zayıf yönlerini görebilmelerini sağlar.</w:t>
            </w:r>
          </w:p>
        </w:tc>
        <w:tc>
          <w:tcPr>
            <w:tcW w:w="1154" w:type="dxa"/>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.734</w:t>
            </w:r>
          </w:p>
        </w:tc>
        <w:tc>
          <w:tcPr>
            <w:tcW w:w="1134" w:type="dxa"/>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.753</w:t>
            </w:r>
          </w:p>
        </w:tc>
        <w:tc>
          <w:tcPr>
            <w:tcW w:w="1417" w:type="dxa"/>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.932</w:t>
            </w:r>
          </w:p>
        </w:tc>
      </w:tr>
      <w:tr w:rsidR="00302BB9" w:rsidRPr="00C4026F" w:rsidTr="005137D6">
        <w:trPr>
          <w:trHeight w:val="20"/>
        </w:trPr>
        <w:tc>
          <w:tcPr>
            <w:tcW w:w="888" w:type="dxa"/>
            <w:shd w:val="clear" w:color="auto" w:fill="auto"/>
            <w:vAlign w:val="center"/>
          </w:tcPr>
          <w:p w:rsidR="00302BB9" w:rsidRPr="00C4026F" w:rsidRDefault="00302BB9" w:rsidP="008575F6">
            <w:pPr>
              <w:rPr>
                <w:rFonts w:ascii="Palatino Linotype" w:hAnsi="Palatino Linotype"/>
                <w:sz w:val="20"/>
                <w:szCs w:val="20"/>
              </w:rPr>
            </w:pPr>
            <w:r w:rsidRPr="00C4026F">
              <w:rPr>
                <w:rFonts w:ascii="Palatino Linotype" w:hAnsi="Palatino Linotype"/>
                <w:sz w:val="20"/>
                <w:szCs w:val="20"/>
              </w:rPr>
              <w:t>PODA</w:t>
            </w:r>
          </w:p>
        </w:tc>
        <w:tc>
          <w:tcPr>
            <w:tcW w:w="773" w:type="dxa"/>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9</w:t>
            </w:r>
          </w:p>
        </w:tc>
        <w:tc>
          <w:tcPr>
            <w:tcW w:w="3706" w:type="dxa"/>
            <w:shd w:val="clear" w:color="auto" w:fill="auto"/>
            <w:vAlign w:val="center"/>
          </w:tcPr>
          <w:p w:rsidR="00302BB9" w:rsidRPr="00C4026F" w:rsidRDefault="005E73B0" w:rsidP="009474C6">
            <w:pPr>
              <w:spacing w:after="20"/>
              <w:rPr>
                <w:rFonts w:ascii="Palatino Linotype" w:hAnsi="Palatino Linotype"/>
                <w:sz w:val="20"/>
                <w:szCs w:val="20"/>
              </w:rPr>
            </w:pPr>
            <w:r w:rsidRPr="00C4026F">
              <w:rPr>
                <w:rFonts w:ascii="Palatino Linotype" w:hAnsi="Palatino Linotype"/>
                <w:sz w:val="20"/>
                <w:szCs w:val="20"/>
              </w:rPr>
              <w:t>Bu sınıfta yapılan değerlendirmelerde, öğrencilerin gösterdikleri çabadan çok sınav puanlarına vurgu yapılmaktadır.</w:t>
            </w:r>
          </w:p>
        </w:tc>
        <w:tc>
          <w:tcPr>
            <w:tcW w:w="1154" w:type="dxa"/>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.730</w:t>
            </w:r>
          </w:p>
        </w:tc>
        <w:tc>
          <w:tcPr>
            <w:tcW w:w="1134" w:type="dxa"/>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.761</w:t>
            </w:r>
          </w:p>
        </w:tc>
        <w:tc>
          <w:tcPr>
            <w:tcW w:w="1417" w:type="dxa"/>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.927</w:t>
            </w:r>
          </w:p>
        </w:tc>
      </w:tr>
    </w:tbl>
    <w:p w:rsidR="00302BB9" w:rsidRPr="00C4026F" w:rsidRDefault="00302BB9" w:rsidP="005137D6">
      <w:pPr>
        <w:spacing w:before="240" w:after="120" w:line="228" w:lineRule="auto"/>
        <w:ind w:firstLine="709"/>
        <w:jc w:val="both"/>
        <w:rPr>
          <w:rFonts w:ascii="Palatino Linotype" w:hAnsi="Palatino Linotype" w:cs="Times New Roman"/>
          <w:sz w:val="20"/>
          <w:szCs w:val="20"/>
        </w:rPr>
      </w:pPr>
      <w:r w:rsidRPr="00C4026F">
        <w:rPr>
          <w:rFonts w:ascii="Palatino Linotype" w:hAnsi="Palatino Linotype" w:cs="Times New Roman"/>
          <w:sz w:val="20"/>
          <w:szCs w:val="20"/>
        </w:rPr>
        <w:t>SDAÖ’nün ÖODA ve PODA alt ölçeklerine ait ortalamaların yorumlanmasında; 1.00-1.80 arasındaki ortalama değerlerin “</w:t>
      </w:r>
      <w:r w:rsidRPr="00C4026F">
        <w:rPr>
          <w:rFonts w:ascii="Palatino Linotype" w:hAnsi="Palatino Linotype" w:cs="Times New Roman"/>
          <w:i/>
          <w:sz w:val="20"/>
          <w:szCs w:val="20"/>
        </w:rPr>
        <w:t>Kesinlikle Katılmıyorum</w:t>
      </w:r>
      <w:r w:rsidRPr="00C4026F">
        <w:rPr>
          <w:rFonts w:ascii="Palatino Linotype" w:hAnsi="Palatino Linotype" w:cs="Times New Roman"/>
          <w:sz w:val="20"/>
          <w:szCs w:val="20"/>
        </w:rPr>
        <w:t>”, 1.81-2.60 arasındakilerin “</w:t>
      </w:r>
      <w:r w:rsidRPr="00C4026F">
        <w:rPr>
          <w:rFonts w:ascii="Palatino Linotype" w:hAnsi="Palatino Linotype" w:cs="Times New Roman"/>
          <w:i/>
          <w:sz w:val="20"/>
          <w:szCs w:val="20"/>
        </w:rPr>
        <w:t>Katılmıyorum</w:t>
      </w:r>
      <w:r w:rsidRPr="00C4026F">
        <w:rPr>
          <w:rFonts w:ascii="Palatino Linotype" w:hAnsi="Palatino Linotype" w:cs="Times New Roman"/>
          <w:sz w:val="20"/>
          <w:szCs w:val="20"/>
        </w:rPr>
        <w:t>”, 2.61-3.40 arasındakilerin “</w:t>
      </w:r>
      <w:r w:rsidRPr="00C4026F">
        <w:rPr>
          <w:rFonts w:ascii="Palatino Linotype" w:hAnsi="Palatino Linotype" w:cs="Times New Roman"/>
          <w:i/>
          <w:sz w:val="20"/>
          <w:szCs w:val="20"/>
        </w:rPr>
        <w:t>Kararsızım</w:t>
      </w:r>
      <w:r w:rsidRPr="00C4026F">
        <w:rPr>
          <w:rFonts w:ascii="Palatino Linotype" w:hAnsi="Palatino Linotype" w:cs="Times New Roman"/>
          <w:sz w:val="20"/>
          <w:szCs w:val="20"/>
        </w:rPr>
        <w:t>”, 3.41-4.20 arasındakilerin “</w:t>
      </w:r>
      <w:r w:rsidRPr="00C4026F">
        <w:rPr>
          <w:rFonts w:ascii="Palatino Linotype" w:hAnsi="Palatino Linotype" w:cs="Times New Roman"/>
          <w:i/>
          <w:sz w:val="20"/>
          <w:szCs w:val="20"/>
        </w:rPr>
        <w:t>Katılıyorum</w:t>
      </w:r>
      <w:r w:rsidRPr="00C4026F">
        <w:rPr>
          <w:rFonts w:ascii="Palatino Linotype" w:hAnsi="Palatino Linotype" w:cs="Times New Roman"/>
          <w:sz w:val="20"/>
          <w:szCs w:val="20"/>
        </w:rPr>
        <w:t>” ve 4.21-5.00 arasındakilerin ise “</w:t>
      </w:r>
      <w:r w:rsidRPr="00C4026F">
        <w:rPr>
          <w:rFonts w:ascii="Palatino Linotype" w:hAnsi="Palatino Linotype" w:cs="Times New Roman"/>
          <w:i/>
          <w:sz w:val="20"/>
          <w:szCs w:val="20"/>
        </w:rPr>
        <w:t>Tamamen Katılıyorum</w:t>
      </w:r>
      <w:r w:rsidRPr="00C4026F">
        <w:rPr>
          <w:rFonts w:ascii="Palatino Linotype" w:hAnsi="Palatino Linotype" w:cs="Times New Roman"/>
          <w:sz w:val="20"/>
          <w:szCs w:val="20"/>
        </w:rPr>
        <w:t>” derecesinde değer taşıdığı kabul edilmiştir. Buna göre, öğrencilerin ÖODA ve PODA alt ölçeklerinden aldıkları puanların ortalaması; 1.00-1.80 arasında ise ilgili boyuta yönelik algıları çok düşük, 1.81-2.60 arasında ise ilgili boyuta yönelik algıları düşük, 2.61- 3.40 arasında ise ilgili boyuta yönelik algıları orta düzeyde, 3.41-4.20 arasında ise ilgili boyuta yönelik algıları yüksek ve 4.21-5.00 arasında ise ilgili boyuta yönelik algıları çok yüksek yorumları yapılmaktadır.</w:t>
      </w:r>
    </w:p>
    <w:p w:rsidR="00302BB9" w:rsidRPr="00C4026F" w:rsidRDefault="00302BB9" w:rsidP="005137D6">
      <w:pPr>
        <w:spacing w:after="0" w:line="228" w:lineRule="auto"/>
        <w:ind w:left="708"/>
        <w:rPr>
          <w:rFonts w:ascii="Palatino Linotype" w:hAnsi="Palatino Linotype" w:cs="Times New Roman"/>
          <w:b/>
          <w:i/>
          <w:sz w:val="20"/>
          <w:szCs w:val="20"/>
        </w:rPr>
      </w:pPr>
      <w:r w:rsidRPr="00C4026F">
        <w:rPr>
          <w:rFonts w:ascii="Palatino Linotype" w:hAnsi="Palatino Linotype" w:cs="Times New Roman"/>
          <w:b/>
          <w:i/>
          <w:sz w:val="20"/>
          <w:szCs w:val="20"/>
        </w:rPr>
        <w:t>İşlem</w:t>
      </w:r>
    </w:p>
    <w:p w:rsidR="00302BB9" w:rsidRPr="00C4026F" w:rsidRDefault="00302BB9" w:rsidP="005137D6">
      <w:pPr>
        <w:spacing w:after="120" w:line="228" w:lineRule="auto"/>
        <w:ind w:firstLine="709"/>
        <w:jc w:val="both"/>
        <w:rPr>
          <w:rFonts w:ascii="Palatino Linotype" w:hAnsi="Palatino Linotype" w:cs="Times New Roman"/>
          <w:sz w:val="20"/>
          <w:szCs w:val="20"/>
        </w:rPr>
      </w:pPr>
      <w:r w:rsidRPr="00C4026F">
        <w:rPr>
          <w:rFonts w:ascii="Palatino Linotype" w:hAnsi="Palatino Linotype" w:cs="Times New Roman"/>
          <w:sz w:val="20"/>
          <w:szCs w:val="20"/>
        </w:rPr>
        <w:t>Araştırmanın verileri, 2013-2014 Öğretim Yılı Bahar Dönemi’nde toplanmıştır. Ölçek, sınıf ortamında öğrencilere uygulanmıştır. Uygulama sırasında, araştırmacının sınıfta bulunmasına özen gösterilmiştir. Veri toplama araçları uygulanmadan önce öğrenciler araştırmanın amacı hakkında bilgilendirilmiştir. Öğrencilere toplanan verilerin yalnızca araştırmanın amacı için kullanılacağı, başka herhangi bir kurum ya da kişi ile paylaşılmayacağı ifade edilmiştir. Yine uygulamadan önce araştırmaya katılmanın zorunlu olmadığı ifade edilerek araştırma grubunun yalnızca gönüllü öğrencilerden oluşması sağlanmıştır. Ayrıca, ölçeği içtenlikle yanıtlamalarının geçerli ve güvenilir sonuçlar elde edilebilmesi için son derece önemli olduğu araştırmacı tarafından öğrencilere hatırlatılmıştır. Veri toplama aracının ilk bölümünde cinsiyet ve sınıf değişkenlerine yer verilerek öğrencilerin demografik özelliklerine ilişkin bilgiler toplanmıştır. Herhangi bir öğrenciye ait MTE-ÖF ile SDAÖ’nün eşleştirilebilmesi için, iki ölçeğin eş zamanlı olarak öğrencilere uygulanması ya da öğrencilerden isim alınarak ölçeklerin belirli zaman aralıkları ile uygulanması şeklinde iki farklı yol izlenebilir. Ancak, öğrencilerden isim alınmasının katılımcıların ölçekleri doldururken samimi yanıtlar vermesine engel teşkil edebileceği düşünüldüğünden, araştırmada ilk yol takip edilmiş ve iki ölçek aynı anda öğrencilere uygulanmıştır. Öğrencilerin büyük çoğunluğu yaklaşık 15 ile 20 dakika içinde veri toplama araçlarını tamamlamışlardır.</w:t>
      </w:r>
    </w:p>
    <w:p w:rsidR="00302BB9" w:rsidRPr="00C4026F" w:rsidRDefault="00302BB9" w:rsidP="005137D6">
      <w:pPr>
        <w:spacing w:after="0" w:line="228" w:lineRule="auto"/>
        <w:ind w:firstLine="708"/>
        <w:jc w:val="both"/>
        <w:rPr>
          <w:rFonts w:ascii="Palatino Linotype" w:hAnsi="Palatino Linotype" w:cs="Times New Roman"/>
          <w:b/>
          <w:i/>
          <w:sz w:val="20"/>
          <w:szCs w:val="20"/>
        </w:rPr>
      </w:pPr>
      <w:r w:rsidRPr="00C4026F">
        <w:rPr>
          <w:rFonts w:ascii="Palatino Linotype" w:hAnsi="Palatino Linotype" w:cs="Times New Roman"/>
          <w:b/>
          <w:i/>
          <w:sz w:val="20"/>
          <w:szCs w:val="20"/>
        </w:rPr>
        <w:t>Veri Analizi</w:t>
      </w:r>
    </w:p>
    <w:p w:rsidR="00302BB9" w:rsidRPr="00C4026F" w:rsidRDefault="00302BB9" w:rsidP="005137D6">
      <w:pPr>
        <w:spacing w:after="120" w:line="228" w:lineRule="auto"/>
        <w:ind w:firstLine="709"/>
        <w:jc w:val="both"/>
        <w:rPr>
          <w:rFonts w:ascii="Palatino Linotype" w:hAnsi="Palatino Linotype" w:cs="Times New Roman"/>
          <w:sz w:val="20"/>
          <w:szCs w:val="20"/>
        </w:rPr>
      </w:pPr>
      <w:r w:rsidRPr="00C4026F">
        <w:rPr>
          <w:rFonts w:ascii="Palatino Linotype" w:hAnsi="Palatino Linotype" w:cs="Times New Roman"/>
          <w:sz w:val="20"/>
          <w:szCs w:val="20"/>
        </w:rPr>
        <w:t>Bu araştırma; öğrencilerin akademik tükenmişlik düzeylerinin bağımlı değişken, sınıf değerlendirme atmosferine yönelik algılarının ise bağımsız değişken olarak alındığı nedensel karşılaştırma türünde bir çalışmadır. Nedensel karşılaştırma türündeki araştırmalarda veri analizi iki adımda gerçekleştirilmektedir. Veri analizinin birinci adımında, bağımsız değişkene göre gruplar oluşturulmaktadır. Oluşturulan grupların araştırmaya konu olan bağımlı değişken açısından farklılık gösterip göstermediğinin test edilmesi ise, veri analizine yönelik işlemlerin ikinci adımını meydana getirmektedir (</w:t>
      </w:r>
      <w:proofErr w:type="spellStart"/>
      <w:r w:rsidRPr="00C4026F">
        <w:rPr>
          <w:rFonts w:ascii="Palatino Linotype" w:hAnsi="Palatino Linotype" w:cs="Times New Roman"/>
          <w:sz w:val="20"/>
          <w:szCs w:val="20"/>
        </w:rPr>
        <w:t>Fraenkel</w:t>
      </w:r>
      <w:proofErr w:type="spellEnd"/>
      <w:r w:rsidRPr="00C4026F">
        <w:rPr>
          <w:rFonts w:ascii="Palatino Linotype" w:hAnsi="Palatino Linotype" w:cs="Times New Roman"/>
          <w:sz w:val="20"/>
          <w:szCs w:val="20"/>
        </w:rPr>
        <w:t xml:space="preserve"> ve </w:t>
      </w:r>
      <w:proofErr w:type="spellStart"/>
      <w:r w:rsidRPr="00C4026F">
        <w:rPr>
          <w:rFonts w:ascii="Palatino Linotype" w:hAnsi="Palatino Linotype" w:cs="Times New Roman"/>
          <w:sz w:val="20"/>
          <w:szCs w:val="20"/>
        </w:rPr>
        <w:t>Wallen</w:t>
      </w:r>
      <w:proofErr w:type="spellEnd"/>
      <w:r w:rsidRPr="00C4026F">
        <w:rPr>
          <w:rFonts w:ascii="Palatino Linotype" w:hAnsi="Palatino Linotype" w:cs="Times New Roman"/>
          <w:sz w:val="20"/>
          <w:szCs w:val="20"/>
        </w:rPr>
        <w:t xml:space="preserve">, 2006). Bu nedenle, veri analizi sürecinde ilk olarak, sınıf değerlendirme atmosferine yönelik benzer algılara sahip olan öğrencileri gruplandırmak için kümeleme analizi uygulanmıştır. Kümeleme analizi; objeleri incelenen özellik açısından görece benzer (homojen) gruplara ayırmak amacıyla kullanılan çok değişkenli bir istatistiksel tekniktir (Özdamar, 2010; </w:t>
      </w:r>
      <w:proofErr w:type="spellStart"/>
      <w:r w:rsidRPr="00C4026F">
        <w:rPr>
          <w:rFonts w:ascii="Palatino Linotype" w:hAnsi="Palatino Linotype" w:cs="Times New Roman"/>
          <w:sz w:val="20"/>
          <w:szCs w:val="20"/>
        </w:rPr>
        <w:t>Romesburg</w:t>
      </w:r>
      <w:proofErr w:type="spellEnd"/>
      <w:r w:rsidRPr="00C4026F">
        <w:rPr>
          <w:rFonts w:ascii="Palatino Linotype" w:hAnsi="Palatino Linotype" w:cs="Times New Roman"/>
          <w:sz w:val="20"/>
          <w:szCs w:val="20"/>
        </w:rPr>
        <w:t>, 2004). Kümeleme analizi sonucunda, aynı grupta yer alan bireyler farklı grupta yer alan bireylere göre incelenen özellik açısından birbirine daha benzer olmaktadır (</w:t>
      </w:r>
      <w:proofErr w:type="spellStart"/>
      <w:r w:rsidRPr="00C4026F">
        <w:rPr>
          <w:rFonts w:ascii="Palatino Linotype" w:hAnsi="Palatino Linotype" w:cs="Times New Roman"/>
          <w:sz w:val="20"/>
          <w:szCs w:val="20"/>
        </w:rPr>
        <w:t>Aldenderfer</w:t>
      </w:r>
      <w:proofErr w:type="spellEnd"/>
      <w:r w:rsidRPr="00C4026F">
        <w:rPr>
          <w:rFonts w:ascii="Palatino Linotype" w:hAnsi="Palatino Linotype" w:cs="Times New Roman"/>
          <w:sz w:val="20"/>
          <w:szCs w:val="20"/>
        </w:rPr>
        <w:t xml:space="preserve"> ve </w:t>
      </w:r>
      <w:proofErr w:type="spellStart"/>
      <w:r w:rsidRPr="00C4026F">
        <w:rPr>
          <w:rFonts w:ascii="Palatino Linotype" w:hAnsi="Palatino Linotype" w:cs="Times New Roman"/>
          <w:sz w:val="20"/>
          <w:szCs w:val="20"/>
        </w:rPr>
        <w:t>Blashfield</w:t>
      </w:r>
      <w:proofErr w:type="spellEnd"/>
      <w:r w:rsidRPr="00C4026F">
        <w:rPr>
          <w:rFonts w:ascii="Palatino Linotype" w:hAnsi="Palatino Linotype" w:cs="Times New Roman"/>
          <w:sz w:val="20"/>
          <w:szCs w:val="20"/>
        </w:rPr>
        <w:t xml:space="preserve">, 1984; Uçar, 2010). Bu araştırmada öğrencileri sınıf değerlendirme atmosferine yönelik </w:t>
      </w:r>
      <w:r w:rsidRPr="00C4026F">
        <w:rPr>
          <w:rFonts w:ascii="Palatino Linotype" w:hAnsi="Palatino Linotype" w:cs="Times New Roman"/>
          <w:sz w:val="20"/>
          <w:szCs w:val="20"/>
        </w:rPr>
        <w:lastRenderedPageBreak/>
        <w:t xml:space="preserve">algıları açısından gruplara ayırmak amacıyla, SDAÖ’nün ÖODA ve PODA alt ölçeklerinden alınan puanlar üzerinden kümeleme analizi uygulanmıştır. Analizde, hiyerarşik olmayan kümeleme yöntemlerinden </w:t>
      </w:r>
      <w:r w:rsidRPr="00C4026F">
        <w:rPr>
          <w:rFonts w:ascii="Palatino Linotype" w:hAnsi="Palatino Linotype" w:cs="Times New Roman"/>
          <w:i/>
          <w:sz w:val="20"/>
          <w:szCs w:val="20"/>
        </w:rPr>
        <w:t>k-ortalama</w:t>
      </w:r>
      <w:r w:rsidRPr="00C4026F">
        <w:rPr>
          <w:rFonts w:ascii="Palatino Linotype" w:hAnsi="Palatino Linotype" w:cs="Times New Roman"/>
          <w:sz w:val="20"/>
          <w:szCs w:val="20"/>
        </w:rPr>
        <w:t xml:space="preserve"> tekniği kullanılmıştır. Araştırmacının küme sayısına ilişkin bir öngörüsünün olduğu durumlarda hiyerarşik olmayan kümeleme yöntemleri tercih edilmektedir (Çokluk, Şekercioğlu ve Büyüköztürk, 2012). Bu araştırmada öğrencilerin sınıf değerlendirme atmosferine yönelik algılarının; </w:t>
      </w:r>
      <w:r w:rsidRPr="00C4026F">
        <w:rPr>
          <w:rFonts w:ascii="Palatino Linotype" w:hAnsi="Palatino Linotype" w:cs="Times New Roman"/>
          <w:i/>
          <w:sz w:val="20"/>
          <w:szCs w:val="20"/>
        </w:rPr>
        <w:t>i</w:t>
      </w:r>
      <w:proofErr w:type="gramStart"/>
      <w:r w:rsidRPr="00C4026F">
        <w:rPr>
          <w:rFonts w:ascii="Palatino Linotype" w:hAnsi="Palatino Linotype" w:cs="Times New Roman"/>
          <w:i/>
          <w:sz w:val="20"/>
          <w:szCs w:val="20"/>
        </w:rPr>
        <w:t>)</w:t>
      </w:r>
      <w:proofErr w:type="gramEnd"/>
      <w:r w:rsidRPr="00C4026F">
        <w:rPr>
          <w:rFonts w:ascii="Palatino Linotype" w:hAnsi="Palatino Linotype" w:cs="Times New Roman"/>
          <w:sz w:val="20"/>
          <w:szCs w:val="20"/>
        </w:rPr>
        <w:t xml:space="preserve"> yüksek öğrenme odaklı algı ile düşük performans odaklı algı, </w:t>
      </w:r>
      <w:r w:rsidRPr="00C4026F">
        <w:rPr>
          <w:rFonts w:ascii="Palatino Linotype" w:hAnsi="Palatino Linotype" w:cs="Times New Roman"/>
          <w:i/>
          <w:sz w:val="20"/>
          <w:szCs w:val="20"/>
        </w:rPr>
        <w:t>ii)</w:t>
      </w:r>
      <w:r w:rsidRPr="00C4026F">
        <w:rPr>
          <w:rFonts w:ascii="Palatino Linotype" w:hAnsi="Palatino Linotype" w:cs="Times New Roman"/>
          <w:sz w:val="20"/>
          <w:szCs w:val="20"/>
        </w:rPr>
        <w:t xml:space="preserve"> orta düzeyde öğrenme ile performans odaklı algı ve </w:t>
      </w:r>
      <w:r w:rsidRPr="00C4026F">
        <w:rPr>
          <w:rFonts w:ascii="Palatino Linotype" w:hAnsi="Palatino Linotype" w:cs="Times New Roman"/>
          <w:i/>
          <w:sz w:val="20"/>
          <w:szCs w:val="20"/>
        </w:rPr>
        <w:t>iii)</w:t>
      </w:r>
      <w:r w:rsidRPr="00C4026F">
        <w:rPr>
          <w:rFonts w:ascii="Palatino Linotype" w:hAnsi="Palatino Linotype" w:cs="Times New Roman"/>
          <w:sz w:val="20"/>
          <w:szCs w:val="20"/>
        </w:rPr>
        <w:t xml:space="preserve"> düşük öğrenme odaklı algı ile yüksek performans odaklı algı şeklinde 3 küme altında yer alacağı öngörülmüştür. ÖODA ve PODA atmosferi arasında negatif bir ilişkin bulunduğu göz önünde bulundurularak; sınıf değerlendirme atmosferine yönelik öğrenme ve performans odaklı algıların her ikisinin de düşük ya da yüksek olduğu bir küme oluşmayacağı düşünülmüştür. Bu noktadan hareketle; öğrenciler sınıf değerlendirme atmosferine yönelik algılarına göre gruplara ayrılırken, analiz sonucunda oluşacak küme sayısı 3 olarak belirlenmiştir.  </w:t>
      </w:r>
    </w:p>
    <w:p w:rsidR="00302BB9" w:rsidRPr="00C4026F" w:rsidRDefault="00302BB9" w:rsidP="005137D6">
      <w:pPr>
        <w:spacing w:after="0" w:line="228" w:lineRule="auto"/>
        <w:ind w:firstLine="708"/>
        <w:jc w:val="both"/>
        <w:rPr>
          <w:rFonts w:ascii="Palatino Linotype" w:hAnsi="Palatino Linotype" w:cs="Times New Roman"/>
          <w:sz w:val="20"/>
          <w:szCs w:val="20"/>
        </w:rPr>
      </w:pPr>
      <w:r w:rsidRPr="00C4026F">
        <w:rPr>
          <w:rFonts w:ascii="Palatino Linotype" w:hAnsi="Palatino Linotype" w:cs="Times New Roman"/>
          <w:sz w:val="20"/>
          <w:szCs w:val="20"/>
        </w:rPr>
        <w:t>Kümeleme analizinin ardından, öğrencilerin akademik tükenmişlik düzeylerinin sınıf değerlendirme atmosferine yönelik algılarına göre değişip değişmediği belirlenmeye çalışılmıştır</w:t>
      </w:r>
      <w:r w:rsidR="008E04E0" w:rsidRPr="00C4026F">
        <w:rPr>
          <w:rFonts w:ascii="Palatino Linotype" w:hAnsi="Palatino Linotype" w:cs="Times New Roman"/>
          <w:sz w:val="20"/>
          <w:szCs w:val="20"/>
        </w:rPr>
        <w:t>. Bu amaçla, öğrencilerin MTE-ÖF’</w:t>
      </w:r>
      <w:r w:rsidRPr="00C4026F">
        <w:rPr>
          <w:rFonts w:ascii="Palatino Linotype" w:hAnsi="Palatino Linotype" w:cs="Times New Roman"/>
          <w:sz w:val="20"/>
          <w:szCs w:val="20"/>
        </w:rPr>
        <w:t>ün duygusal tükenme, duyarsızlaşma ve yetkinlik alt ölçeklerinden aldıkları puanların kümeleme analizi sonucunda oluşan gruplara göre farklılık gösterip göstermediği Tek Yönlü Çok Değişkenli Varyans Analizi (</w:t>
      </w:r>
      <w:proofErr w:type="spellStart"/>
      <w:r w:rsidRPr="00C4026F">
        <w:rPr>
          <w:rFonts w:ascii="Palatino Linotype" w:hAnsi="Palatino Linotype" w:cs="Times New Roman"/>
          <w:sz w:val="20"/>
          <w:szCs w:val="20"/>
        </w:rPr>
        <w:t>One-way</w:t>
      </w:r>
      <w:proofErr w:type="spellEnd"/>
      <w:r w:rsidRPr="00C4026F">
        <w:rPr>
          <w:rFonts w:ascii="Palatino Linotype" w:hAnsi="Palatino Linotype" w:cs="Times New Roman"/>
          <w:sz w:val="20"/>
          <w:szCs w:val="20"/>
        </w:rPr>
        <w:t xml:space="preserve"> MANOVA) ile test edilmeye çalışılmıştır. Öğrencilerin duygusal tükenme, duyarsızlaşma ve yetkinlik alt ölçeklerinden aldıkları puanların kümeleme analizi sonucunda oluşan gruplara göre farklılık gösterip göstermediğini Tek Yönlü MANOVA ile analiz edebilmek için öncelikle </w:t>
      </w:r>
      <w:proofErr w:type="spellStart"/>
      <w:r w:rsidRPr="00C4026F">
        <w:rPr>
          <w:rFonts w:ascii="Palatino Linotype" w:hAnsi="Palatino Linotype" w:cs="Times New Roman"/>
          <w:sz w:val="20"/>
          <w:szCs w:val="20"/>
        </w:rPr>
        <w:t>MANOVA’ya</w:t>
      </w:r>
      <w:proofErr w:type="spellEnd"/>
      <w:r w:rsidRPr="00C4026F">
        <w:rPr>
          <w:rFonts w:ascii="Palatino Linotype" w:hAnsi="Palatino Linotype" w:cs="Times New Roman"/>
          <w:sz w:val="20"/>
          <w:szCs w:val="20"/>
        </w:rPr>
        <w:t xml:space="preserve"> ilişkin varsayımların karşılanıp karşılanmadığı test edilmelidir. Çünkü MANOVA bağımlı değişkenler arasındaki ilişkilerin dikkate alınması (</w:t>
      </w:r>
      <w:proofErr w:type="spellStart"/>
      <w:r w:rsidRPr="00C4026F">
        <w:rPr>
          <w:rFonts w:ascii="Palatino Linotype" w:hAnsi="Palatino Linotype" w:cs="Times New Roman"/>
          <w:sz w:val="20"/>
          <w:szCs w:val="20"/>
        </w:rPr>
        <w:t>Field</w:t>
      </w:r>
      <w:proofErr w:type="spellEnd"/>
      <w:r w:rsidRPr="00C4026F">
        <w:rPr>
          <w:rFonts w:ascii="Palatino Linotype" w:hAnsi="Palatino Linotype" w:cs="Times New Roman"/>
          <w:sz w:val="20"/>
          <w:szCs w:val="20"/>
        </w:rPr>
        <w:t>, 2005) ve ölçme işlemine karışabilecek I. Tip hatanın kontrol altında tutulması (</w:t>
      </w:r>
      <w:proofErr w:type="spellStart"/>
      <w:r w:rsidRPr="00C4026F">
        <w:rPr>
          <w:rFonts w:ascii="Palatino Linotype" w:hAnsi="Palatino Linotype" w:cs="Times New Roman"/>
          <w:sz w:val="20"/>
          <w:szCs w:val="20"/>
        </w:rPr>
        <w:t>Bray</w:t>
      </w:r>
      <w:proofErr w:type="spellEnd"/>
      <w:r w:rsidRPr="00C4026F">
        <w:rPr>
          <w:rFonts w:ascii="Palatino Linotype" w:hAnsi="Palatino Linotype" w:cs="Times New Roman"/>
          <w:sz w:val="20"/>
          <w:szCs w:val="20"/>
        </w:rPr>
        <w:t xml:space="preserve"> ve </w:t>
      </w:r>
      <w:proofErr w:type="spellStart"/>
      <w:r w:rsidRPr="00C4026F">
        <w:rPr>
          <w:rFonts w:ascii="Palatino Linotype" w:hAnsi="Palatino Linotype" w:cs="Times New Roman"/>
          <w:sz w:val="20"/>
          <w:szCs w:val="20"/>
        </w:rPr>
        <w:t>Maxwell</w:t>
      </w:r>
      <w:proofErr w:type="spellEnd"/>
      <w:r w:rsidRPr="00C4026F">
        <w:rPr>
          <w:rFonts w:ascii="Palatino Linotype" w:hAnsi="Palatino Linotype" w:cs="Times New Roman"/>
          <w:sz w:val="20"/>
          <w:szCs w:val="20"/>
        </w:rPr>
        <w:t xml:space="preserve">, 1982; Stevens, 2009; </w:t>
      </w:r>
      <w:proofErr w:type="spellStart"/>
      <w:r w:rsidRPr="00C4026F">
        <w:rPr>
          <w:rFonts w:ascii="Palatino Linotype" w:hAnsi="Palatino Linotype" w:cs="Times New Roman"/>
          <w:sz w:val="20"/>
          <w:szCs w:val="20"/>
        </w:rPr>
        <w:t>Stangor</w:t>
      </w:r>
      <w:proofErr w:type="spellEnd"/>
      <w:r w:rsidRPr="00C4026F">
        <w:rPr>
          <w:rFonts w:ascii="Palatino Linotype" w:hAnsi="Palatino Linotype" w:cs="Times New Roman"/>
          <w:sz w:val="20"/>
          <w:szCs w:val="20"/>
        </w:rPr>
        <w:t xml:space="preserve">, 2010) avantajları ile birlikte pek çok ek şartı da beraberinde getirmektedir (Akbulut, 2010). Bu nedenle, MANOVA gerçekleştirilmeden önce, verilerin </w:t>
      </w:r>
      <w:proofErr w:type="spellStart"/>
      <w:r w:rsidRPr="00C4026F">
        <w:rPr>
          <w:rFonts w:ascii="Palatino Linotype" w:hAnsi="Palatino Linotype" w:cs="Times New Roman"/>
          <w:sz w:val="20"/>
          <w:szCs w:val="20"/>
        </w:rPr>
        <w:t>MANOVA’ya</w:t>
      </w:r>
      <w:proofErr w:type="spellEnd"/>
      <w:r w:rsidRPr="00C4026F">
        <w:rPr>
          <w:rFonts w:ascii="Palatino Linotype" w:hAnsi="Palatino Linotype" w:cs="Times New Roman"/>
          <w:sz w:val="20"/>
          <w:szCs w:val="20"/>
        </w:rPr>
        <w:t xml:space="preserve"> ilişkin varsayımları karşılayıp karşılamadığı test edilmiştir. Varsayımların karşılanıp karşılanmadığını test etmek amacıyla yapılan işlemler; tek ve çok değişkenli normallik, veri setinde uç değerlerin bulunmaması, </w:t>
      </w:r>
      <w:proofErr w:type="spellStart"/>
      <w:r w:rsidRPr="00C4026F">
        <w:rPr>
          <w:rFonts w:ascii="Palatino Linotype" w:hAnsi="Palatino Linotype" w:cs="Times New Roman"/>
          <w:sz w:val="20"/>
          <w:szCs w:val="20"/>
        </w:rPr>
        <w:t>doğrusallık</w:t>
      </w:r>
      <w:proofErr w:type="spellEnd"/>
      <w:r w:rsidRPr="00C4026F">
        <w:rPr>
          <w:rFonts w:ascii="Palatino Linotype" w:hAnsi="Palatino Linotype" w:cs="Times New Roman"/>
          <w:sz w:val="20"/>
          <w:szCs w:val="20"/>
        </w:rPr>
        <w:t xml:space="preserve">, çoklu doğrusal bağıntı ve tekillik şartlarının sağlandığını göstermiştir. Ancak, </w:t>
      </w:r>
      <w:proofErr w:type="spellStart"/>
      <w:r w:rsidRPr="00C4026F">
        <w:rPr>
          <w:rStyle w:val="st"/>
          <w:rFonts w:ascii="Palatino Linotype" w:hAnsi="Palatino Linotype"/>
          <w:i/>
          <w:color w:val="000000" w:themeColor="text1"/>
          <w:sz w:val="20"/>
          <w:szCs w:val="20"/>
        </w:rPr>
        <w:t>Box’s</w:t>
      </w:r>
      <w:proofErr w:type="spellEnd"/>
      <w:r w:rsidRPr="00C4026F">
        <w:rPr>
          <w:rStyle w:val="st"/>
          <w:rFonts w:ascii="Palatino Linotype" w:hAnsi="Palatino Linotype"/>
          <w:i/>
          <w:color w:val="000000" w:themeColor="text1"/>
          <w:sz w:val="20"/>
          <w:szCs w:val="20"/>
        </w:rPr>
        <w:t xml:space="preserve"> M</w:t>
      </w:r>
      <w:r w:rsidRPr="00C4026F">
        <w:rPr>
          <w:rStyle w:val="st"/>
          <w:rFonts w:ascii="Palatino Linotype" w:hAnsi="Palatino Linotype"/>
          <w:color w:val="000000" w:themeColor="text1"/>
          <w:sz w:val="20"/>
          <w:szCs w:val="20"/>
        </w:rPr>
        <w:t xml:space="preserve"> testinin anlamlı çıkması </w:t>
      </w:r>
      <w:r w:rsidRPr="00C4026F">
        <w:rPr>
          <w:rFonts w:ascii="Palatino Linotype" w:hAnsi="Palatino Linotype" w:cs="Times New Roman"/>
          <w:sz w:val="20"/>
          <w:szCs w:val="20"/>
        </w:rPr>
        <w:t xml:space="preserve">varyans-kovaryans matrislerinin homojenliğini varsayımının ihlal edildiğini ortaya koymuştur. </w:t>
      </w:r>
      <w:proofErr w:type="spellStart"/>
      <w:r w:rsidRPr="00C4026F">
        <w:rPr>
          <w:rFonts w:ascii="Palatino Linotype" w:hAnsi="Palatino Linotype" w:cs="Times New Roman"/>
          <w:sz w:val="20"/>
          <w:szCs w:val="20"/>
        </w:rPr>
        <w:t>MANOVA’nın</w:t>
      </w:r>
      <w:proofErr w:type="spellEnd"/>
      <w:r w:rsidRPr="00C4026F">
        <w:rPr>
          <w:rFonts w:ascii="Palatino Linotype" w:hAnsi="Palatino Linotype" w:cs="Times New Roman"/>
          <w:sz w:val="20"/>
          <w:szCs w:val="20"/>
        </w:rPr>
        <w:t xml:space="preserve"> varsayımlarının karşılanmadığı bu tür durumlarda MANOVA yerine, bağımlı değişken setinde yer alan her bir değişken için ayrı bir ANOVA uygulanması önerilmektedir. Bununla birlikte, tek bir MANOVA yerine bağımlı değişken setinde yer alan her bir değişken için ayrı bir ANOVA uygulanması; gerçekte anlamlı olmayan sonuçların anlamlı bulunması olasılığını arttırarak ölçme işlemine I. Tip hatanın karışmasına neden olabilmektedir (Akbulut, 2010). Dolayısıyla, tek bir MANOVA yerine birden fazla sayıda ANOVA’nın uygulanması halinde, ölçme işlemine karışabilecek I. Tip hatayı kontrol altında tutmak için </w:t>
      </w:r>
      <w:proofErr w:type="spellStart"/>
      <w:r w:rsidRPr="00C4026F">
        <w:rPr>
          <w:rFonts w:ascii="Palatino Linotype" w:hAnsi="Palatino Linotype" w:cs="Times New Roman"/>
          <w:sz w:val="20"/>
          <w:szCs w:val="20"/>
        </w:rPr>
        <w:t>Bonferroni</w:t>
      </w:r>
      <w:proofErr w:type="spellEnd"/>
      <w:r w:rsidRPr="00C4026F">
        <w:rPr>
          <w:rFonts w:ascii="Palatino Linotype" w:hAnsi="Palatino Linotype" w:cs="Times New Roman"/>
          <w:sz w:val="20"/>
          <w:szCs w:val="20"/>
        </w:rPr>
        <w:t xml:space="preserve"> düzeltmesi uygulanmalıdır (</w:t>
      </w:r>
      <w:proofErr w:type="spellStart"/>
      <w:r w:rsidRPr="00C4026F">
        <w:rPr>
          <w:rFonts w:ascii="Palatino Linotype" w:hAnsi="Palatino Linotype" w:cs="Times New Roman"/>
          <w:sz w:val="20"/>
          <w:szCs w:val="20"/>
        </w:rPr>
        <w:t>Hinton</w:t>
      </w:r>
      <w:proofErr w:type="spellEnd"/>
      <w:r w:rsidRPr="00C4026F">
        <w:rPr>
          <w:rFonts w:ascii="Palatino Linotype" w:hAnsi="Palatino Linotype" w:cs="Times New Roman"/>
          <w:sz w:val="20"/>
          <w:szCs w:val="20"/>
        </w:rPr>
        <w:t xml:space="preserve">, 2005). </w:t>
      </w:r>
      <w:proofErr w:type="spellStart"/>
      <w:r w:rsidRPr="00C4026F">
        <w:rPr>
          <w:rFonts w:ascii="Palatino Linotype" w:hAnsi="Palatino Linotype" w:cs="Times New Roman"/>
          <w:sz w:val="20"/>
          <w:szCs w:val="20"/>
        </w:rPr>
        <w:t>Bonferroni</w:t>
      </w:r>
      <w:proofErr w:type="spellEnd"/>
      <w:r w:rsidRPr="00C4026F">
        <w:rPr>
          <w:rFonts w:ascii="Palatino Linotype" w:hAnsi="Palatino Linotype" w:cs="Times New Roman"/>
          <w:sz w:val="20"/>
          <w:szCs w:val="20"/>
        </w:rPr>
        <w:t xml:space="preserve"> düzeltmesine göre, anlamlı olmayan sonuçların anlamlı bulunması olasılığını azaltmak için </w:t>
      </w:r>
      <w:r w:rsidRPr="00C4026F">
        <w:rPr>
          <w:rFonts w:ascii="Palatino Linotype" w:hAnsi="Palatino Linotype" w:cs="Times New Roman"/>
          <w:i/>
          <w:sz w:val="20"/>
          <w:szCs w:val="20"/>
        </w:rPr>
        <w:t>p</w:t>
      </w:r>
      <w:r w:rsidRPr="00C4026F">
        <w:rPr>
          <w:rFonts w:ascii="Palatino Linotype" w:hAnsi="Palatino Linotype" w:cs="Times New Roman"/>
          <w:sz w:val="20"/>
          <w:szCs w:val="20"/>
        </w:rPr>
        <w:t xml:space="preserve"> değerinin çok daha sıkı tutulması gerekmektedir (Akbulut, 2010). Bu kapsamda, normal </w:t>
      </w:r>
      <w:r w:rsidRPr="00C4026F">
        <w:rPr>
          <w:rFonts w:ascii="Palatino Linotype" w:hAnsi="Palatino Linotype" w:cs="Times New Roman"/>
          <w:i/>
          <w:sz w:val="20"/>
          <w:szCs w:val="20"/>
        </w:rPr>
        <w:t>p</w:t>
      </w:r>
      <w:r w:rsidRPr="00C4026F">
        <w:rPr>
          <w:rFonts w:ascii="Palatino Linotype" w:hAnsi="Palatino Linotype" w:cs="Times New Roman"/>
          <w:sz w:val="20"/>
          <w:szCs w:val="20"/>
        </w:rPr>
        <w:t xml:space="preserve"> değeri (genel </w:t>
      </w:r>
      <w:proofErr w:type="gramStart"/>
      <w:r w:rsidRPr="00C4026F">
        <w:rPr>
          <w:rFonts w:ascii="Palatino Linotype" w:hAnsi="Palatino Linotype" w:cs="Times New Roman"/>
          <w:sz w:val="20"/>
          <w:szCs w:val="20"/>
        </w:rPr>
        <w:t>olarak .05</w:t>
      </w:r>
      <w:proofErr w:type="gramEnd"/>
      <w:r w:rsidRPr="00C4026F">
        <w:rPr>
          <w:rFonts w:ascii="Palatino Linotype" w:hAnsi="Palatino Linotype" w:cs="Times New Roman"/>
          <w:sz w:val="20"/>
          <w:szCs w:val="20"/>
        </w:rPr>
        <w:t>) yapılacak ANOVA sayısına (bağımlı değişken sayısı) bölünmeli ve bu işlemin ardından elde edilen değer, anlamlılık ölçütü olarak alınmalıdır (</w:t>
      </w:r>
      <w:proofErr w:type="spellStart"/>
      <w:r w:rsidRPr="00C4026F">
        <w:rPr>
          <w:rFonts w:ascii="Palatino Linotype" w:hAnsi="Palatino Linotype" w:cs="Times New Roman"/>
          <w:sz w:val="20"/>
          <w:szCs w:val="20"/>
        </w:rPr>
        <w:t>Pallant</w:t>
      </w:r>
      <w:proofErr w:type="spellEnd"/>
      <w:r w:rsidRPr="00C4026F">
        <w:rPr>
          <w:rFonts w:ascii="Palatino Linotype" w:hAnsi="Palatino Linotype" w:cs="Times New Roman"/>
          <w:sz w:val="20"/>
          <w:szCs w:val="20"/>
        </w:rPr>
        <w:t xml:space="preserve">, 2005). Araştırmada bağımlı değişken setinde; duygusal tükenme, duyarsızlaşma ve yetkinlik olmak üzere üç değişken bulunduğundan, .05 değeri üçe bölünmüş [.05/3=.016] ve Tek Yönlü ANOVA sonuçları yorumlanırken bu işlem sonucunda elde </w:t>
      </w:r>
      <w:proofErr w:type="gramStart"/>
      <w:r w:rsidRPr="00C4026F">
        <w:rPr>
          <w:rFonts w:ascii="Palatino Linotype" w:hAnsi="Palatino Linotype" w:cs="Times New Roman"/>
          <w:sz w:val="20"/>
          <w:szCs w:val="20"/>
        </w:rPr>
        <w:t>edilen .016</w:t>
      </w:r>
      <w:proofErr w:type="gramEnd"/>
      <w:r w:rsidRPr="00C4026F">
        <w:rPr>
          <w:rFonts w:ascii="Palatino Linotype" w:hAnsi="Palatino Linotype" w:cs="Times New Roman"/>
          <w:sz w:val="20"/>
          <w:szCs w:val="20"/>
        </w:rPr>
        <w:t xml:space="preserve"> değeri anlamlılık ölçütü olarak alınmıştır. ANOVA sonucunda anlamlı fark bulunması halinde farkın kaynağını tespit etmek için Scheffe testi ile ikili karşılaştırmalar yapılmıştır. Yine ANOVA sonucunda anlamlı fark belirlendiği takdirde, farkın büyüklüğüne karar vermek için etki değeri hesaplanmıştır. Etki değeri ortalamalar arasındaki anlamlı farkın büyüklüğünü göstermektedir. Etki değerine ilişkin </w:t>
      </w:r>
      <w:proofErr w:type="spellStart"/>
      <w:r w:rsidRPr="00C4026F">
        <w:rPr>
          <w:rFonts w:ascii="Palatino Linotype" w:hAnsi="Palatino Linotype" w:cs="Times New Roman"/>
          <w:sz w:val="20"/>
          <w:szCs w:val="20"/>
        </w:rPr>
        <w:t>Cohen</w:t>
      </w:r>
      <w:proofErr w:type="spellEnd"/>
      <w:r w:rsidRPr="00C4026F">
        <w:rPr>
          <w:rFonts w:ascii="Palatino Linotype" w:hAnsi="Palatino Linotype" w:cs="Times New Roman"/>
          <w:sz w:val="20"/>
          <w:szCs w:val="20"/>
        </w:rPr>
        <w:t xml:space="preserve"> d, </w:t>
      </w:r>
      <w:proofErr w:type="spellStart"/>
      <w:r w:rsidRPr="00C4026F">
        <w:rPr>
          <w:rFonts w:ascii="Palatino Linotype" w:hAnsi="Palatino Linotype" w:cs="Times New Roman"/>
          <w:sz w:val="20"/>
          <w:szCs w:val="20"/>
        </w:rPr>
        <w:t>Cohen</w:t>
      </w:r>
      <w:proofErr w:type="spellEnd"/>
      <w:r w:rsidRPr="00C4026F">
        <w:rPr>
          <w:rFonts w:ascii="Palatino Linotype" w:hAnsi="Palatino Linotype" w:cs="Times New Roman"/>
          <w:sz w:val="20"/>
          <w:szCs w:val="20"/>
        </w:rPr>
        <w:t xml:space="preserve"> f ve </w:t>
      </w:r>
      <w:proofErr w:type="spellStart"/>
      <w:r w:rsidRPr="00C4026F">
        <w:rPr>
          <w:rFonts w:ascii="Palatino Linotype" w:hAnsi="Palatino Linotype" w:cs="Times New Roman"/>
          <w:sz w:val="20"/>
          <w:szCs w:val="20"/>
        </w:rPr>
        <w:t>Eta</w:t>
      </w:r>
      <w:proofErr w:type="spellEnd"/>
      <w:r w:rsidRPr="00C4026F">
        <w:rPr>
          <w:rFonts w:ascii="Palatino Linotype" w:hAnsi="Palatino Linotype" w:cs="Times New Roman"/>
          <w:sz w:val="20"/>
          <w:szCs w:val="20"/>
        </w:rPr>
        <w:t xml:space="preserve"> Kare gibi farklı istatistikler bulunmaktadır. </w:t>
      </w:r>
      <w:proofErr w:type="spellStart"/>
      <w:r w:rsidRPr="00C4026F">
        <w:rPr>
          <w:rFonts w:ascii="Palatino Linotype" w:hAnsi="Palatino Linotype" w:cs="Times New Roman"/>
          <w:sz w:val="20"/>
          <w:szCs w:val="20"/>
        </w:rPr>
        <w:t>Eta</w:t>
      </w:r>
      <w:proofErr w:type="spellEnd"/>
      <w:r w:rsidRPr="00C4026F">
        <w:rPr>
          <w:rFonts w:ascii="Palatino Linotype" w:hAnsi="Palatino Linotype" w:cs="Times New Roman"/>
          <w:sz w:val="20"/>
          <w:szCs w:val="20"/>
        </w:rPr>
        <w:t xml:space="preserve"> Kare değeri bağımlı değişkende bağımsız değişken/değişkenler ile açıklanan varyans oranını göstermesi ve varyans analizi gibi bazı istatistiklerde SPSS programı tarafından sunulan analiz çıktıları arasında yer alması nedeniyle daha fazla tercih edilmektedir (</w:t>
      </w:r>
      <w:proofErr w:type="spellStart"/>
      <w:r w:rsidRPr="00C4026F">
        <w:rPr>
          <w:rFonts w:ascii="Palatino Linotype" w:hAnsi="Palatino Linotype" w:cs="Times New Roman"/>
          <w:sz w:val="20"/>
          <w:szCs w:val="20"/>
        </w:rPr>
        <w:t>Pallant</w:t>
      </w:r>
      <w:proofErr w:type="spellEnd"/>
      <w:r w:rsidRPr="00C4026F">
        <w:rPr>
          <w:rFonts w:ascii="Palatino Linotype" w:hAnsi="Palatino Linotype" w:cs="Times New Roman"/>
          <w:sz w:val="20"/>
          <w:szCs w:val="20"/>
        </w:rPr>
        <w:t xml:space="preserve">, 2005). </w:t>
      </w:r>
      <w:proofErr w:type="spellStart"/>
      <w:r w:rsidRPr="00C4026F">
        <w:rPr>
          <w:rFonts w:ascii="Palatino Linotype" w:hAnsi="Palatino Linotype" w:cs="Times New Roman"/>
          <w:sz w:val="20"/>
          <w:szCs w:val="20"/>
        </w:rPr>
        <w:t>Cohen’e</w:t>
      </w:r>
      <w:proofErr w:type="spellEnd"/>
      <w:r w:rsidRPr="00C4026F">
        <w:rPr>
          <w:rFonts w:ascii="Palatino Linotype" w:hAnsi="Palatino Linotype" w:cs="Times New Roman"/>
          <w:sz w:val="20"/>
          <w:szCs w:val="20"/>
        </w:rPr>
        <w:t xml:space="preserve"> (1988) göre, hesaplanan </w:t>
      </w:r>
      <w:proofErr w:type="spellStart"/>
      <w:r w:rsidRPr="00C4026F">
        <w:rPr>
          <w:rFonts w:ascii="Palatino Linotype" w:hAnsi="Palatino Linotype" w:cs="Times New Roman"/>
          <w:sz w:val="20"/>
          <w:szCs w:val="20"/>
        </w:rPr>
        <w:t>Eta</w:t>
      </w:r>
      <w:proofErr w:type="spellEnd"/>
      <w:r w:rsidRPr="00C4026F">
        <w:rPr>
          <w:rFonts w:ascii="Palatino Linotype" w:hAnsi="Palatino Linotype" w:cs="Times New Roman"/>
          <w:sz w:val="20"/>
          <w:szCs w:val="20"/>
        </w:rPr>
        <w:t xml:space="preserve"> Kare </w:t>
      </w:r>
      <w:proofErr w:type="gramStart"/>
      <w:r w:rsidRPr="00C4026F">
        <w:rPr>
          <w:rFonts w:ascii="Palatino Linotype" w:hAnsi="Palatino Linotype" w:cs="Times New Roman"/>
          <w:sz w:val="20"/>
          <w:szCs w:val="20"/>
        </w:rPr>
        <w:t>değeri .01</w:t>
      </w:r>
      <w:proofErr w:type="gramEnd"/>
      <w:r w:rsidRPr="00C4026F">
        <w:rPr>
          <w:rFonts w:ascii="Palatino Linotype" w:hAnsi="Palatino Linotype" w:cs="Times New Roman"/>
          <w:sz w:val="20"/>
          <w:szCs w:val="20"/>
        </w:rPr>
        <w:t xml:space="preserve"> ile .06 arasında ise ortalamalar arasındaki anlamlı fark küçük, .06 ve .14 arasında ise ortalamalar arasındaki anlamlı fark orta düzeyde, .14 ve üstü ise ortalamalar arasındaki anlamlı fark büyüktür yorumları yapılmaktadır (Akbulut, 2010</w:t>
      </w:r>
      <w:r w:rsidR="000A1AB5" w:rsidRPr="00C4026F">
        <w:rPr>
          <w:rFonts w:ascii="Palatino Linotype" w:hAnsi="Palatino Linotype" w:cs="Times New Roman"/>
          <w:sz w:val="20"/>
          <w:szCs w:val="20"/>
        </w:rPr>
        <w:t>;</w:t>
      </w:r>
      <w:r w:rsidR="005137D6">
        <w:rPr>
          <w:rFonts w:ascii="Palatino Linotype" w:hAnsi="Palatino Linotype" w:cs="Times New Roman"/>
          <w:sz w:val="20"/>
          <w:szCs w:val="20"/>
        </w:rPr>
        <w:t xml:space="preserve"> </w:t>
      </w:r>
      <w:proofErr w:type="spellStart"/>
      <w:r w:rsidR="005137D6">
        <w:rPr>
          <w:rFonts w:ascii="Palatino Linotype" w:hAnsi="Palatino Linotype" w:cs="Times New Roman"/>
          <w:sz w:val="20"/>
          <w:szCs w:val="20"/>
        </w:rPr>
        <w:t>Pallant</w:t>
      </w:r>
      <w:proofErr w:type="spellEnd"/>
      <w:r w:rsidR="005137D6">
        <w:rPr>
          <w:rFonts w:ascii="Palatino Linotype" w:hAnsi="Palatino Linotype" w:cs="Times New Roman"/>
          <w:sz w:val="20"/>
          <w:szCs w:val="20"/>
        </w:rPr>
        <w:t xml:space="preserve">, 2005). </w:t>
      </w:r>
    </w:p>
    <w:p w:rsidR="005E6912" w:rsidRPr="00C4026F" w:rsidRDefault="005E6912" w:rsidP="008575F6">
      <w:pPr>
        <w:spacing w:before="120" w:after="120" w:line="240" w:lineRule="auto"/>
        <w:jc w:val="center"/>
        <w:rPr>
          <w:rFonts w:ascii="Palatino Linotype" w:hAnsi="Palatino Linotype"/>
          <w:b/>
          <w:sz w:val="20"/>
          <w:szCs w:val="20"/>
        </w:rPr>
      </w:pPr>
      <w:r w:rsidRPr="00C4026F">
        <w:rPr>
          <w:rFonts w:ascii="Palatino Linotype" w:hAnsi="Palatino Linotype"/>
          <w:b/>
        </w:rPr>
        <w:lastRenderedPageBreak/>
        <w:t>Bulgular</w:t>
      </w:r>
    </w:p>
    <w:p w:rsidR="00302BB9" w:rsidRPr="00C4026F" w:rsidRDefault="00302BB9" w:rsidP="008575F6">
      <w:pPr>
        <w:spacing w:after="240" w:line="240" w:lineRule="auto"/>
        <w:ind w:firstLine="709"/>
        <w:jc w:val="both"/>
        <w:rPr>
          <w:rFonts w:ascii="Palatino Linotype" w:hAnsi="Palatino Linotype"/>
          <w:sz w:val="20"/>
          <w:szCs w:val="20"/>
        </w:rPr>
      </w:pPr>
      <w:r w:rsidRPr="00C4026F">
        <w:rPr>
          <w:rFonts w:ascii="Palatino Linotype" w:hAnsi="Palatino Linotype"/>
          <w:sz w:val="20"/>
          <w:szCs w:val="20"/>
        </w:rPr>
        <w:t>Bu bölümde araştırmadan elde edilen bulgulara yer verilmiştir. İlk olarak, öğrencilerin SDAÖ’den aldıkları puanlar üzerinden kümeleme analizi uygulanmıştır. Kümeleme analizi sonuçlarına göre; araştırma grubundaki 496 öğrencinin sınıf değerlendirme atmosferine yönelik algıları açısından kendi içinde türdeş (homojen) ve kendi aralarında farklı (heterojen) 3 kümeye ayrıldığı belirlenmiştir. 1. kümede 131 (%26.41), 2. kümede 163 (%32.86) ve 3. kümede 202 (%40.73) katılımcı yer almıştır. Oluşan 3 farklı küme için ÖODA ve PODA’ya ait betimsel istatistikler Tablo 3’te sunulmuştur.</w:t>
      </w:r>
    </w:p>
    <w:tbl>
      <w:tblPr>
        <w:tblStyle w:val="TabloKlavuzu"/>
        <w:tblW w:w="0" w:type="auto"/>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975"/>
        <w:gridCol w:w="735"/>
        <w:gridCol w:w="924"/>
        <w:gridCol w:w="955"/>
        <w:gridCol w:w="754"/>
        <w:gridCol w:w="1166"/>
        <w:gridCol w:w="1248"/>
        <w:gridCol w:w="925"/>
        <w:gridCol w:w="1390"/>
      </w:tblGrid>
      <w:tr w:rsidR="00A37E98" w:rsidRPr="00C4026F" w:rsidTr="00A37E98">
        <w:trPr>
          <w:trHeight w:val="57"/>
        </w:trPr>
        <w:tc>
          <w:tcPr>
            <w:tcW w:w="9072" w:type="dxa"/>
            <w:gridSpan w:val="9"/>
            <w:tcBorders>
              <w:top w:val="nil"/>
            </w:tcBorders>
            <w:shd w:val="clear" w:color="auto" w:fill="auto"/>
            <w:vAlign w:val="center"/>
          </w:tcPr>
          <w:p w:rsidR="00A37E98" w:rsidRPr="00C4026F" w:rsidRDefault="00A37E98" w:rsidP="00932E07">
            <w:pPr>
              <w:spacing w:after="20"/>
              <w:rPr>
                <w:rFonts w:ascii="Palatino Linotype" w:hAnsi="Palatino Linotype"/>
                <w:sz w:val="20"/>
                <w:szCs w:val="20"/>
              </w:rPr>
            </w:pPr>
            <w:r w:rsidRPr="00C4026F">
              <w:rPr>
                <w:rFonts w:ascii="Palatino Linotype" w:hAnsi="Palatino Linotype" w:cs="Times New Roman"/>
                <w:b/>
                <w:sz w:val="20"/>
                <w:szCs w:val="20"/>
              </w:rPr>
              <w:t>Tablo 3.</w:t>
            </w:r>
            <w:r w:rsidRPr="00C4026F">
              <w:rPr>
                <w:rFonts w:ascii="Palatino Linotype" w:hAnsi="Palatino Linotype" w:cs="Times New Roman"/>
                <w:sz w:val="20"/>
                <w:szCs w:val="20"/>
              </w:rPr>
              <w:t xml:space="preserve"> Kümeleme Analizi Sonucunda Oluşan Üç Farklı Küme için ÖODA ve PODA’ya İlişkin Betimsel İstatistikler</w:t>
            </w:r>
          </w:p>
        </w:tc>
      </w:tr>
      <w:tr w:rsidR="00302BB9" w:rsidRPr="00C4026F" w:rsidTr="002900CD">
        <w:trPr>
          <w:trHeight w:val="57"/>
        </w:trPr>
        <w:tc>
          <w:tcPr>
            <w:tcW w:w="975" w:type="dxa"/>
            <w:tcBorders>
              <w:top w:val="single" w:sz="2" w:space="0" w:color="auto"/>
            </w:tcBorders>
            <w:shd w:val="clear" w:color="auto" w:fill="auto"/>
            <w:vAlign w:val="center"/>
          </w:tcPr>
          <w:p w:rsidR="00302BB9" w:rsidRPr="002900CD" w:rsidRDefault="00302BB9" w:rsidP="002900CD">
            <w:pPr>
              <w:jc w:val="center"/>
              <w:rPr>
                <w:rFonts w:ascii="Palatino Linotype" w:hAnsi="Palatino Linotype"/>
                <w:b/>
                <w:sz w:val="20"/>
                <w:szCs w:val="20"/>
              </w:rPr>
            </w:pPr>
            <w:r w:rsidRPr="002900CD">
              <w:rPr>
                <w:rFonts w:ascii="Palatino Linotype" w:hAnsi="Palatino Linotype"/>
                <w:b/>
                <w:sz w:val="20"/>
                <w:szCs w:val="20"/>
              </w:rPr>
              <w:t>Kümeler</w:t>
            </w:r>
          </w:p>
        </w:tc>
        <w:tc>
          <w:tcPr>
            <w:tcW w:w="735" w:type="dxa"/>
            <w:tcBorders>
              <w:top w:val="single" w:sz="2" w:space="0" w:color="auto"/>
            </w:tcBorders>
            <w:shd w:val="clear" w:color="auto" w:fill="auto"/>
            <w:vAlign w:val="center"/>
          </w:tcPr>
          <w:p w:rsidR="00302BB9" w:rsidRPr="002900CD" w:rsidRDefault="00302BB9" w:rsidP="002900CD">
            <w:pPr>
              <w:jc w:val="center"/>
              <w:rPr>
                <w:rFonts w:ascii="Palatino Linotype" w:hAnsi="Palatino Linotype"/>
                <w:b/>
                <w:sz w:val="20"/>
                <w:szCs w:val="20"/>
              </w:rPr>
            </w:pPr>
            <w:proofErr w:type="gramStart"/>
            <w:r w:rsidRPr="002900CD">
              <w:rPr>
                <w:rFonts w:ascii="Palatino Linotype" w:hAnsi="Palatino Linotype"/>
                <w:b/>
                <w:sz w:val="20"/>
                <w:szCs w:val="20"/>
              </w:rPr>
              <w:t>n</w:t>
            </w:r>
            <w:proofErr w:type="gramEnd"/>
          </w:p>
        </w:tc>
        <w:tc>
          <w:tcPr>
            <w:tcW w:w="924" w:type="dxa"/>
            <w:tcBorders>
              <w:top w:val="single" w:sz="2" w:space="0" w:color="auto"/>
              <w:bottom w:val="single" w:sz="4" w:space="0" w:color="auto"/>
            </w:tcBorders>
            <w:shd w:val="clear" w:color="auto" w:fill="auto"/>
            <w:vAlign w:val="center"/>
          </w:tcPr>
          <w:p w:rsidR="00302BB9" w:rsidRPr="002900CD" w:rsidRDefault="00302BB9" w:rsidP="002900CD">
            <w:pPr>
              <w:jc w:val="center"/>
              <w:rPr>
                <w:rFonts w:ascii="Palatino Linotype" w:hAnsi="Palatino Linotype"/>
                <w:b/>
                <w:sz w:val="20"/>
                <w:szCs w:val="20"/>
              </w:rPr>
            </w:pPr>
            <w:r w:rsidRPr="002900CD">
              <w:rPr>
                <w:rFonts w:ascii="Palatino Linotype" w:hAnsi="Palatino Linotype"/>
                <w:b/>
                <w:sz w:val="20"/>
                <w:szCs w:val="20"/>
              </w:rPr>
              <w:t>Boyut</w:t>
            </w:r>
          </w:p>
        </w:tc>
        <w:tc>
          <w:tcPr>
            <w:tcW w:w="955" w:type="dxa"/>
            <w:tcBorders>
              <w:top w:val="single" w:sz="2" w:space="0" w:color="auto"/>
              <w:bottom w:val="single" w:sz="4" w:space="0" w:color="auto"/>
            </w:tcBorders>
            <w:shd w:val="clear" w:color="auto" w:fill="auto"/>
            <w:vAlign w:val="center"/>
          </w:tcPr>
          <w:p w:rsidR="00302BB9" w:rsidRPr="002900CD" w:rsidRDefault="00302BB9" w:rsidP="002900CD">
            <w:pPr>
              <w:jc w:val="center"/>
              <w:rPr>
                <w:rFonts w:ascii="Palatino Linotype" w:hAnsi="Palatino Linotype"/>
                <w:b/>
                <w:sz w:val="20"/>
                <w:szCs w:val="20"/>
              </w:rPr>
            </w:pPr>
            <w:r w:rsidRPr="002900CD">
              <w:rPr>
                <w:rFonts w:ascii="Palatino Linotype" w:hAnsi="Palatino Linotype"/>
                <w:b/>
                <w:position w:val="-4"/>
                <w:sz w:val="20"/>
                <w:szCs w:val="20"/>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15.45pt" o:ole="">
                  <v:imagedata r:id="rId8" o:title=""/>
                </v:shape>
                <o:OLEObject Type="Embed" ProgID="Equation.3" ShapeID="_x0000_i1025" DrawAspect="Content" ObjectID="_1480324507" r:id="rId9"/>
              </w:object>
            </w:r>
          </w:p>
        </w:tc>
        <w:tc>
          <w:tcPr>
            <w:tcW w:w="754" w:type="dxa"/>
            <w:tcBorders>
              <w:top w:val="single" w:sz="2" w:space="0" w:color="auto"/>
              <w:bottom w:val="single" w:sz="4" w:space="0" w:color="auto"/>
            </w:tcBorders>
            <w:shd w:val="clear" w:color="auto" w:fill="auto"/>
            <w:vAlign w:val="center"/>
          </w:tcPr>
          <w:p w:rsidR="00302BB9" w:rsidRPr="002900CD" w:rsidRDefault="00302BB9" w:rsidP="002900CD">
            <w:pPr>
              <w:jc w:val="center"/>
              <w:rPr>
                <w:rFonts w:ascii="Palatino Linotype" w:hAnsi="Palatino Linotype"/>
                <w:b/>
                <w:sz w:val="20"/>
                <w:szCs w:val="20"/>
              </w:rPr>
            </w:pPr>
            <w:proofErr w:type="spellStart"/>
            <w:r w:rsidRPr="002900CD">
              <w:rPr>
                <w:rFonts w:ascii="Palatino Linotype" w:hAnsi="Palatino Linotype"/>
                <w:b/>
                <w:sz w:val="20"/>
                <w:szCs w:val="20"/>
              </w:rPr>
              <w:t>ss</w:t>
            </w:r>
            <w:proofErr w:type="spellEnd"/>
          </w:p>
        </w:tc>
        <w:tc>
          <w:tcPr>
            <w:tcW w:w="1166" w:type="dxa"/>
            <w:tcBorders>
              <w:top w:val="single" w:sz="2" w:space="0" w:color="auto"/>
              <w:bottom w:val="single" w:sz="4" w:space="0" w:color="auto"/>
            </w:tcBorders>
            <w:shd w:val="clear" w:color="auto" w:fill="auto"/>
            <w:vAlign w:val="center"/>
          </w:tcPr>
          <w:p w:rsidR="00302BB9" w:rsidRPr="002900CD" w:rsidRDefault="00302BB9" w:rsidP="002900CD">
            <w:pPr>
              <w:jc w:val="center"/>
              <w:rPr>
                <w:rFonts w:ascii="Palatino Linotype" w:hAnsi="Palatino Linotype"/>
                <w:b/>
                <w:sz w:val="20"/>
                <w:szCs w:val="20"/>
              </w:rPr>
            </w:pPr>
            <w:r w:rsidRPr="002900CD">
              <w:rPr>
                <w:rFonts w:ascii="Palatino Linotype" w:hAnsi="Palatino Linotype"/>
                <w:b/>
                <w:sz w:val="20"/>
                <w:szCs w:val="20"/>
              </w:rPr>
              <w:t>Minimum</w:t>
            </w:r>
          </w:p>
        </w:tc>
        <w:tc>
          <w:tcPr>
            <w:tcW w:w="1248" w:type="dxa"/>
            <w:tcBorders>
              <w:top w:val="single" w:sz="2" w:space="0" w:color="auto"/>
              <w:bottom w:val="single" w:sz="4" w:space="0" w:color="auto"/>
            </w:tcBorders>
            <w:shd w:val="clear" w:color="auto" w:fill="auto"/>
            <w:vAlign w:val="center"/>
          </w:tcPr>
          <w:p w:rsidR="00302BB9" w:rsidRPr="002900CD" w:rsidRDefault="00302BB9" w:rsidP="002900CD">
            <w:pPr>
              <w:jc w:val="center"/>
              <w:rPr>
                <w:rFonts w:ascii="Palatino Linotype" w:hAnsi="Palatino Linotype"/>
                <w:b/>
                <w:sz w:val="20"/>
                <w:szCs w:val="20"/>
              </w:rPr>
            </w:pPr>
            <w:r w:rsidRPr="002900CD">
              <w:rPr>
                <w:rFonts w:ascii="Palatino Linotype" w:hAnsi="Palatino Linotype"/>
                <w:b/>
                <w:sz w:val="20"/>
                <w:szCs w:val="20"/>
              </w:rPr>
              <w:t>Maksimum</w:t>
            </w:r>
          </w:p>
        </w:tc>
        <w:tc>
          <w:tcPr>
            <w:tcW w:w="925" w:type="dxa"/>
            <w:tcBorders>
              <w:top w:val="single" w:sz="2" w:space="0" w:color="auto"/>
              <w:bottom w:val="single" w:sz="4" w:space="0" w:color="auto"/>
            </w:tcBorders>
            <w:shd w:val="clear" w:color="auto" w:fill="auto"/>
            <w:vAlign w:val="center"/>
          </w:tcPr>
          <w:p w:rsidR="00302BB9" w:rsidRPr="002900CD" w:rsidRDefault="00302BB9" w:rsidP="002900CD">
            <w:pPr>
              <w:jc w:val="center"/>
              <w:rPr>
                <w:rFonts w:ascii="Palatino Linotype" w:hAnsi="Palatino Linotype"/>
                <w:b/>
                <w:sz w:val="20"/>
                <w:szCs w:val="20"/>
              </w:rPr>
            </w:pPr>
            <w:r w:rsidRPr="002900CD">
              <w:rPr>
                <w:rFonts w:ascii="Palatino Linotype" w:hAnsi="Palatino Linotype"/>
                <w:b/>
                <w:sz w:val="20"/>
                <w:szCs w:val="20"/>
              </w:rPr>
              <w:t>Ranj</w:t>
            </w:r>
          </w:p>
        </w:tc>
        <w:tc>
          <w:tcPr>
            <w:tcW w:w="1390" w:type="dxa"/>
            <w:tcBorders>
              <w:top w:val="single" w:sz="2" w:space="0" w:color="auto"/>
              <w:bottom w:val="single" w:sz="4" w:space="0" w:color="auto"/>
            </w:tcBorders>
            <w:shd w:val="clear" w:color="auto" w:fill="auto"/>
            <w:vAlign w:val="center"/>
          </w:tcPr>
          <w:p w:rsidR="00302BB9" w:rsidRPr="002900CD" w:rsidRDefault="00302BB9" w:rsidP="002900CD">
            <w:pPr>
              <w:jc w:val="center"/>
              <w:rPr>
                <w:rFonts w:ascii="Palatino Linotype" w:hAnsi="Palatino Linotype"/>
                <w:b/>
                <w:sz w:val="20"/>
                <w:szCs w:val="20"/>
              </w:rPr>
            </w:pPr>
            <w:r w:rsidRPr="002900CD">
              <w:rPr>
                <w:rFonts w:ascii="Palatino Linotype" w:hAnsi="Palatino Linotype"/>
                <w:b/>
                <w:sz w:val="20"/>
                <w:szCs w:val="20"/>
              </w:rPr>
              <w:t>Yorum</w:t>
            </w:r>
          </w:p>
        </w:tc>
      </w:tr>
      <w:tr w:rsidR="00302BB9" w:rsidRPr="00C4026F" w:rsidTr="00A37E98">
        <w:trPr>
          <w:trHeight w:val="57"/>
        </w:trPr>
        <w:tc>
          <w:tcPr>
            <w:tcW w:w="975" w:type="dxa"/>
            <w:vMerge w:val="restart"/>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w:t>
            </w:r>
          </w:p>
        </w:tc>
        <w:tc>
          <w:tcPr>
            <w:tcW w:w="735" w:type="dxa"/>
            <w:vMerge w:val="restart"/>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131</w:t>
            </w:r>
          </w:p>
        </w:tc>
        <w:tc>
          <w:tcPr>
            <w:tcW w:w="924"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ÖODA</w:t>
            </w:r>
          </w:p>
        </w:tc>
        <w:tc>
          <w:tcPr>
            <w:tcW w:w="955"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2.23</w:t>
            </w:r>
          </w:p>
        </w:tc>
        <w:tc>
          <w:tcPr>
            <w:tcW w:w="754"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.46</w:t>
            </w:r>
          </w:p>
        </w:tc>
        <w:tc>
          <w:tcPr>
            <w:tcW w:w="1166"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1.00</w:t>
            </w:r>
          </w:p>
        </w:tc>
        <w:tc>
          <w:tcPr>
            <w:tcW w:w="1248"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3.1</w:t>
            </w:r>
          </w:p>
        </w:tc>
        <w:tc>
          <w:tcPr>
            <w:tcW w:w="925" w:type="dxa"/>
            <w:tcBorders>
              <w:bottom w:val="nil"/>
            </w:tcBorders>
            <w:shd w:val="clear" w:color="auto" w:fill="auto"/>
            <w:vAlign w:val="center"/>
          </w:tcPr>
          <w:p w:rsidR="00302BB9" w:rsidRPr="00C4026F" w:rsidRDefault="00302BB9" w:rsidP="008575F6">
            <w:pPr>
              <w:jc w:val="center"/>
              <w:rPr>
                <w:rFonts w:ascii="Palatino Linotype" w:hAnsi="Palatino Linotype"/>
                <w:color w:val="000000"/>
                <w:sz w:val="20"/>
                <w:szCs w:val="20"/>
              </w:rPr>
            </w:pPr>
            <w:r w:rsidRPr="00C4026F">
              <w:rPr>
                <w:rFonts w:ascii="Palatino Linotype" w:hAnsi="Palatino Linotype"/>
                <w:color w:val="000000"/>
                <w:sz w:val="20"/>
                <w:szCs w:val="20"/>
              </w:rPr>
              <w:t>2.11</w:t>
            </w:r>
          </w:p>
        </w:tc>
        <w:tc>
          <w:tcPr>
            <w:tcW w:w="1390"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Düşük</w:t>
            </w:r>
          </w:p>
        </w:tc>
      </w:tr>
      <w:tr w:rsidR="00302BB9" w:rsidRPr="00C4026F" w:rsidTr="00A37E98">
        <w:trPr>
          <w:trHeight w:val="57"/>
        </w:trPr>
        <w:tc>
          <w:tcPr>
            <w:tcW w:w="975" w:type="dxa"/>
            <w:vMerge/>
            <w:shd w:val="clear" w:color="auto" w:fill="auto"/>
            <w:vAlign w:val="center"/>
          </w:tcPr>
          <w:p w:rsidR="00302BB9" w:rsidRPr="00C4026F" w:rsidRDefault="00302BB9" w:rsidP="008575F6">
            <w:pPr>
              <w:jc w:val="center"/>
              <w:rPr>
                <w:rFonts w:ascii="Palatino Linotype" w:hAnsi="Palatino Linotype"/>
                <w:sz w:val="20"/>
                <w:szCs w:val="20"/>
              </w:rPr>
            </w:pPr>
          </w:p>
        </w:tc>
        <w:tc>
          <w:tcPr>
            <w:tcW w:w="735" w:type="dxa"/>
            <w:vMerge/>
            <w:shd w:val="clear" w:color="auto" w:fill="auto"/>
            <w:vAlign w:val="center"/>
          </w:tcPr>
          <w:p w:rsidR="00302BB9" w:rsidRPr="00C4026F" w:rsidRDefault="00302BB9" w:rsidP="008575F6">
            <w:pPr>
              <w:jc w:val="center"/>
              <w:rPr>
                <w:rFonts w:ascii="Palatino Linotype" w:hAnsi="Palatino Linotype"/>
                <w:sz w:val="20"/>
                <w:szCs w:val="20"/>
              </w:rPr>
            </w:pPr>
          </w:p>
        </w:tc>
        <w:tc>
          <w:tcPr>
            <w:tcW w:w="924"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PODA</w:t>
            </w:r>
          </w:p>
        </w:tc>
        <w:tc>
          <w:tcPr>
            <w:tcW w:w="955"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4.00</w:t>
            </w:r>
          </w:p>
        </w:tc>
        <w:tc>
          <w:tcPr>
            <w:tcW w:w="754"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.45</w:t>
            </w:r>
          </w:p>
        </w:tc>
        <w:tc>
          <w:tcPr>
            <w:tcW w:w="1166"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2.89</w:t>
            </w:r>
          </w:p>
        </w:tc>
        <w:tc>
          <w:tcPr>
            <w:tcW w:w="1248"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5.00</w:t>
            </w:r>
          </w:p>
        </w:tc>
        <w:tc>
          <w:tcPr>
            <w:tcW w:w="925"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color w:val="000000"/>
                <w:sz w:val="20"/>
                <w:szCs w:val="20"/>
              </w:rPr>
            </w:pPr>
            <w:r w:rsidRPr="00C4026F">
              <w:rPr>
                <w:rFonts w:ascii="Palatino Linotype" w:hAnsi="Palatino Linotype"/>
                <w:color w:val="000000"/>
                <w:sz w:val="20"/>
                <w:szCs w:val="20"/>
              </w:rPr>
              <w:t>2.11</w:t>
            </w:r>
          </w:p>
        </w:tc>
        <w:tc>
          <w:tcPr>
            <w:tcW w:w="1390"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Yüksek</w:t>
            </w:r>
          </w:p>
        </w:tc>
      </w:tr>
      <w:tr w:rsidR="00302BB9" w:rsidRPr="00C4026F" w:rsidTr="00A37E98">
        <w:trPr>
          <w:trHeight w:val="57"/>
        </w:trPr>
        <w:tc>
          <w:tcPr>
            <w:tcW w:w="975" w:type="dxa"/>
            <w:vMerge w:val="restart"/>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w:t>
            </w:r>
          </w:p>
        </w:tc>
        <w:tc>
          <w:tcPr>
            <w:tcW w:w="735" w:type="dxa"/>
            <w:vMerge w:val="restart"/>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163</w:t>
            </w:r>
          </w:p>
        </w:tc>
        <w:tc>
          <w:tcPr>
            <w:tcW w:w="924"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ÖODA</w:t>
            </w:r>
          </w:p>
        </w:tc>
        <w:tc>
          <w:tcPr>
            <w:tcW w:w="955"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3.68</w:t>
            </w:r>
          </w:p>
        </w:tc>
        <w:tc>
          <w:tcPr>
            <w:tcW w:w="754"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.38</w:t>
            </w:r>
          </w:p>
        </w:tc>
        <w:tc>
          <w:tcPr>
            <w:tcW w:w="1166"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2.78</w:t>
            </w:r>
          </w:p>
        </w:tc>
        <w:tc>
          <w:tcPr>
            <w:tcW w:w="1248"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4.78</w:t>
            </w:r>
          </w:p>
        </w:tc>
        <w:tc>
          <w:tcPr>
            <w:tcW w:w="925" w:type="dxa"/>
            <w:tcBorders>
              <w:bottom w:val="nil"/>
            </w:tcBorders>
            <w:shd w:val="clear" w:color="auto" w:fill="auto"/>
            <w:vAlign w:val="center"/>
          </w:tcPr>
          <w:p w:rsidR="00302BB9" w:rsidRPr="00C4026F" w:rsidRDefault="00302BB9" w:rsidP="008575F6">
            <w:pPr>
              <w:jc w:val="center"/>
              <w:rPr>
                <w:rFonts w:ascii="Palatino Linotype" w:hAnsi="Palatino Linotype"/>
                <w:color w:val="000000"/>
                <w:sz w:val="20"/>
                <w:szCs w:val="20"/>
              </w:rPr>
            </w:pPr>
            <w:r w:rsidRPr="00C4026F">
              <w:rPr>
                <w:rFonts w:ascii="Palatino Linotype" w:hAnsi="Palatino Linotype"/>
                <w:color w:val="000000"/>
                <w:sz w:val="20"/>
                <w:szCs w:val="20"/>
              </w:rPr>
              <w:t>2.00</w:t>
            </w:r>
          </w:p>
        </w:tc>
        <w:tc>
          <w:tcPr>
            <w:tcW w:w="1390"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 xml:space="preserve">Yüksek </w:t>
            </w:r>
          </w:p>
        </w:tc>
      </w:tr>
      <w:tr w:rsidR="00302BB9" w:rsidRPr="00C4026F" w:rsidTr="00A37E98">
        <w:trPr>
          <w:trHeight w:val="57"/>
        </w:trPr>
        <w:tc>
          <w:tcPr>
            <w:tcW w:w="975" w:type="dxa"/>
            <w:vMerge/>
            <w:shd w:val="clear" w:color="auto" w:fill="auto"/>
            <w:vAlign w:val="center"/>
          </w:tcPr>
          <w:p w:rsidR="00302BB9" w:rsidRPr="00C4026F" w:rsidRDefault="00302BB9" w:rsidP="008575F6">
            <w:pPr>
              <w:jc w:val="center"/>
              <w:rPr>
                <w:rFonts w:ascii="Palatino Linotype" w:hAnsi="Palatino Linotype"/>
                <w:sz w:val="20"/>
                <w:szCs w:val="20"/>
              </w:rPr>
            </w:pPr>
          </w:p>
        </w:tc>
        <w:tc>
          <w:tcPr>
            <w:tcW w:w="735" w:type="dxa"/>
            <w:vMerge/>
            <w:shd w:val="clear" w:color="auto" w:fill="auto"/>
            <w:vAlign w:val="center"/>
          </w:tcPr>
          <w:p w:rsidR="00302BB9" w:rsidRPr="00C4026F" w:rsidRDefault="00302BB9" w:rsidP="008575F6">
            <w:pPr>
              <w:jc w:val="center"/>
              <w:rPr>
                <w:rFonts w:ascii="Palatino Linotype" w:hAnsi="Palatino Linotype"/>
                <w:sz w:val="20"/>
                <w:szCs w:val="20"/>
              </w:rPr>
            </w:pPr>
          </w:p>
        </w:tc>
        <w:tc>
          <w:tcPr>
            <w:tcW w:w="924"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PODA</w:t>
            </w:r>
          </w:p>
        </w:tc>
        <w:tc>
          <w:tcPr>
            <w:tcW w:w="955"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2.45</w:t>
            </w:r>
          </w:p>
        </w:tc>
        <w:tc>
          <w:tcPr>
            <w:tcW w:w="754"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.44</w:t>
            </w:r>
          </w:p>
        </w:tc>
        <w:tc>
          <w:tcPr>
            <w:tcW w:w="1166"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1.00</w:t>
            </w:r>
          </w:p>
        </w:tc>
        <w:tc>
          <w:tcPr>
            <w:tcW w:w="1248"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3.33</w:t>
            </w:r>
          </w:p>
        </w:tc>
        <w:tc>
          <w:tcPr>
            <w:tcW w:w="925"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color w:val="000000"/>
                <w:sz w:val="20"/>
                <w:szCs w:val="20"/>
              </w:rPr>
            </w:pPr>
            <w:r w:rsidRPr="00C4026F">
              <w:rPr>
                <w:rFonts w:ascii="Palatino Linotype" w:hAnsi="Palatino Linotype"/>
                <w:color w:val="000000"/>
                <w:sz w:val="20"/>
                <w:szCs w:val="20"/>
              </w:rPr>
              <w:t>2.33</w:t>
            </w:r>
          </w:p>
        </w:tc>
        <w:tc>
          <w:tcPr>
            <w:tcW w:w="1390" w:type="dxa"/>
            <w:tcBorders>
              <w:top w:val="nil"/>
              <w:bottom w:val="single" w:sz="4"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Düşük</w:t>
            </w:r>
          </w:p>
        </w:tc>
      </w:tr>
      <w:tr w:rsidR="00302BB9" w:rsidRPr="00C4026F" w:rsidTr="00A37E98">
        <w:trPr>
          <w:trHeight w:val="57"/>
        </w:trPr>
        <w:tc>
          <w:tcPr>
            <w:tcW w:w="975" w:type="dxa"/>
            <w:vMerge w:val="restart"/>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w:t>
            </w:r>
          </w:p>
        </w:tc>
        <w:tc>
          <w:tcPr>
            <w:tcW w:w="735" w:type="dxa"/>
            <w:vMerge w:val="restart"/>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202</w:t>
            </w:r>
          </w:p>
        </w:tc>
        <w:tc>
          <w:tcPr>
            <w:tcW w:w="924"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ÖODA</w:t>
            </w:r>
          </w:p>
        </w:tc>
        <w:tc>
          <w:tcPr>
            <w:tcW w:w="955"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2.98</w:t>
            </w:r>
          </w:p>
        </w:tc>
        <w:tc>
          <w:tcPr>
            <w:tcW w:w="754"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.40</w:t>
            </w:r>
          </w:p>
        </w:tc>
        <w:tc>
          <w:tcPr>
            <w:tcW w:w="1166"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1.89</w:t>
            </w:r>
          </w:p>
        </w:tc>
        <w:tc>
          <w:tcPr>
            <w:tcW w:w="1248"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3.89</w:t>
            </w:r>
          </w:p>
        </w:tc>
        <w:tc>
          <w:tcPr>
            <w:tcW w:w="925" w:type="dxa"/>
            <w:tcBorders>
              <w:bottom w:val="nil"/>
            </w:tcBorders>
            <w:shd w:val="clear" w:color="auto" w:fill="auto"/>
            <w:vAlign w:val="center"/>
          </w:tcPr>
          <w:p w:rsidR="00302BB9" w:rsidRPr="00C4026F" w:rsidRDefault="00302BB9" w:rsidP="008575F6">
            <w:pPr>
              <w:jc w:val="center"/>
              <w:rPr>
                <w:rFonts w:ascii="Palatino Linotype" w:hAnsi="Palatino Linotype"/>
                <w:color w:val="000000"/>
                <w:sz w:val="20"/>
                <w:szCs w:val="20"/>
              </w:rPr>
            </w:pPr>
            <w:r w:rsidRPr="00C4026F">
              <w:rPr>
                <w:rFonts w:ascii="Palatino Linotype" w:hAnsi="Palatino Linotype"/>
                <w:color w:val="000000"/>
                <w:sz w:val="20"/>
                <w:szCs w:val="20"/>
              </w:rPr>
              <w:t>2.00</w:t>
            </w:r>
          </w:p>
        </w:tc>
        <w:tc>
          <w:tcPr>
            <w:tcW w:w="1390" w:type="dxa"/>
            <w:tcBorders>
              <w:bottom w:val="nil"/>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Orta</w:t>
            </w:r>
          </w:p>
        </w:tc>
      </w:tr>
      <w:tr w:rsidR="00302BB9" w:rsidRPr="00C4026F" w:rsidTr="00A37E98">
        <w:trPr>
          <w:trHeight w:val="57"/>
        </w:trPr>
        <w:tc>
          <w:tcPr>
            <w:tcW w:w="975" w:type="dxa"/>
            <w:vMerge/>
            <w:tcBorders>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735" w:type="dxa"/>
            <w:vMerge/>
            <w:tcBorders>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924" w:type="dxa"/>
            <w:tcBorders>
              <w:top w:val="nil"/>
              <w:bottom w:val="single" w:sz="2" w:space="0" w:color="auto"/>
            </w:tcBorders>
            <w:shd w:val="clear" w:color="auto" w:fill="auto"/>
            <w:vAlign w:val="center"/>
          </w:tcPr>
          <w:p w:rsidR="00302BB9" w:rsidRPr="00C4026F" w:rsidRDefault="00302BB9" w:rsidP="00B67E49">
            <w:pPr>
              <w:spacing w:after="20"/>
              <w:jc w:val="center"/>
              <w:rPr>
                <w:rFonts w:ascii="Palatino Linotype" w:hAnsi="Palatino Linotype"/>
                <w:sz w:val="20"/>
                <w:szCs w:val="20"/>
              </w:rPr>
            </w:pPr>
            <w:r w:rsidRPr="00C4026F">
              <w:rPr>
                <w:rFonts w:ascii="Palatino Linotype" w:hAnsi="Palatino Linotype"/>
                <w:sz w:val="20"/>
                <w:szCs w:val="20"/>
              </w:rPr>
              <w:t>PODA</w:t>
            </w:r>
          </w:p>
        </w:tc>
        <w:tc>
          <w:tcPr>
            <w:tcW w:w="955" w:type="dxa"/>
            <w:tcBorders>
              <w:top w:val="nil"/>
              <w:bottom w:val="single" w:sz="2" w:space="0" w:color="auto"/>
            </w:tcBorders>
            <w:shd w:val="clear" w:color="auto" w:fill="auto"/>
            <w:vAlign w:val="center"/>
          </w:tcPr>
          <w:p w:rsidR="00302BB9" w:rsidRPr="00C4026F" w:rsidRDefault="00302BB9" w:rsidP="00B67E49">
            <w:pPr>
              <w:spacing w:after="20"/>
              <w:jc w:val="center"/>
              <w:rPr>
                <w:rFonts w:ascii="Palatino Linotype" w:hAnsi="Palatino Linotype"/>
                <w:sz w:val="20"/>
                <w:szCs w:val="20"/>
              </w:rPr>
            </w:pPr>
            <w:r w:rsidRPr="00C4026F">
              <w:rPr>
                <w:rFonts w:ascii="Palatino Linotype" w:hAnsi="Palatino Linotype"/>
                <w:sz w:val="20"/>
                <w:szCs w:val="20"/>
              </w:rPr>
              <w:t>3.11</w:t>
            </w:r>
          </w:p>
        </w:tc>
        <w:tc>
          <w:tcPr>
            <w:tcW w:w="754" w:type="dxa"/>
            <w:tcBorders>
              <w:top w:val="nil"/>
              <w:bottom w:val="single" w:sz="2" w:space="0" w:color="auto"/>
            </w:tcBorders>
            <w:shd w:val="clear" w:color="auto" w:fill="auto"/>
            <w:vAlign w:val="center"/>
          </w:tcPr>
          <w:p w:rsidR="00302BB9" w:rsidRPr="00C4026F" w:rsidRDefault="00302BB9" w:rsidP="00B67E49">
            <w:pPr>
              <w:spacing w:after="20"/>
              <w:jc w:val="center"/>
              <w:rPr>
                <w:rFonts w:ascii="Palatino Linotype" w:hAnsi="Palatino Linotype"/>
                <w:sz w:val="20"/>
                <w:szCs w:val="20"/>
              </w:rPr>
            </w:pPr>
            <w:r w:rsidRPr="00C4026F">
              <w:rPr>
                <w:rFonts w:ascii="Palatino Linotype" w:hAnsi="Palatino Linotype"/>
                <w:sz w:val="20"/>
                <w:szCs w:val="20"/>
              </w:rPr>
              <w:t>.30</w:t>
            </w:r>
          </w:p>
        </w:tc>
        <w:tc>
          <w:tcPr>
            <w:tcW w:w="1166" w:type="dxa"/>
            <w:tcBorders>
              <w:top w:val="nil"/>
              <w:bottom w:val="single" w:sz="2" w:space="0" w:color="auto"/>
            </w:tcBorders>
            <w:shd w:val="clear" w:color="auto" w:fill="auto"/>
            <w:vAlign w:val="center"/>
          </w:tcPr>
          <w:p w:rsidR="00302BB9" w:rsidRPr="00C4026F" w:rsidRDefault="00302BB9" w:rsidP="00B67E49">
            <w:pPr>
              <w:spacing w:after="20"/>
              <w:jc w:val="center"/>
              <w:rPr>
                <w:rFonts w:ascii="Palatino Linotype" w:hAnsi="Palatino Linotype"/>
                <w:sz w:val="20"/>
                <w:szCs w:val="20"/>
              </w:rPr>
            </w:pPr>
            <w:r w:rsidRPr="00C4026F">
              <w:rPr>
                <w:rFonts w:ascii="Palatino Linotype" w:hAnsi="Palatino Linotype"/>
                <w:sz w:val="20"/>
                <w:szCs w:val="20"/>
              </w:rPr>
              <w:t>2.11</w:t>
            </w:r>
          </w:p>
        </w:tc>
        <w:tc>
          <w:tcPr>
            <w:tcW w:w="1248" w:type="dxa"/>
            <w:tcBorders>
              <w:top w:val="nil"/>
              <w:bottom w:val="single" w:sz="2" w:space="0" w:color="auto"/>
            </w:tcBorders>
            <w:shd w:val="clear" w:color="auto" w:fill="auto"/>
            <w:vAlign w:val="center"/>
          </w:tcPr>
          <w:p w:rsidR="00302BB9" w:rsidRPr="00C4026F" w:rsidRDefault="00302BB9" w:rsidP="00B67E49">
            <w:pPr>
              <w:spacing w:after="20"/>
              <w:jc w:val="center"/>
              <w:rPr>
                <w:rFonts w:ascii="Palatino Linotype" w:hAnsi="Palatino Linotype"/>
                <w:sz w:val="20"/>
                <w:szCs w:val="20"/>
              </w:rPr>
            </w:pPr>
            <w:r w:rsidRPr="00C4026F">
              <w:rPr>
                <w:rFonts w:ascii="Palatino Linotype" w:hAnsi="Palatino Linotype"/>
                <w:sz w:val="20"/>
                <w:szCs w:val="20"/>
              </w:rPr>
              <w:t>3.89</w:t>
            </w:r>
          </w:p>
        </w:tc>
        <w:tc>
          <w:tcPr>
            <w:tcW w:w="925" w:type="dxa"/>
            <w:tcBorders>
              <w:top w:val="nil"/>
              <w:bottom w:val="single" w:sz="2" w:space="0" w:color="auto"/>
            </w:tcBorders>
            <w:shd w:val="clear" w:color="auto" w:fill="auto"/>
            <w:vAlign w:val="center"/>
          </w:tcPr>
          <w:p w:rsidR="00302BB9" w:rsidRPr="00C4026F" w:rsidRDefault="00302BB9" w:rsidP="00B67E49">
            <w:pPr>
              <w:spacing w:after="20"/>
              <w:jc w:val="center"/>
              <w:rPr>
                <w:rFonts w:ascii="Palatino Linotype" w:hAnsi="Palatino Linotype"/>
                <w:color w:val="000000"/>
                <w:sz w:val="20"/>
                <w:szCs w:val="20"/>
              </w:rPr>
            </w:pPr>
            <w:r w:rsidRPr="00C4026F">
              <w:rPr>
                <w:rFonts w:ascii="Palatino Linotype" w:hAnsi="Palatino Linotype"/>
                <w:color w:val="000000"/>
                <w:sz w:val="20"/>
                <w:szCs w:val="20"/>
              </w:rPr>
              <w:t>1.78</w:t>
            </w:r>
          </w:p>
        </w:tc>
        <w:tc>
          <w:tcPr>
            <w:tcW w:w="1390" w:type="dxa"/>
            <w:tcBorders>
              <w:top w:val="nil"/>
              <w:bottom w:val="single" w:sz="2" w:space="0" w:color="auto"/>
            </w:tcBorders>
            <w:shd w:val="clear" w:color="auto" w:fill="auto"/>
            <w:vAlign w:val="center"/>
          </w:tcPr>
          <w:p w:rsidR="00302BB9" w:rsidRPr="00C4026F" w:rsidRDefault="00302BB9" w:rsidP="00B67E49">
            <w:pPr>
              <w:spacing w:after="20"/>
              <w:jc w:val="center"/>
              <w:rPr>
                <w:rFonts w:ascii="Palatino Linotype" w:hAnsi="Palatino Linotype"/>
                <w:sz w:val="20"/>
                <w:szCs w:val="20"/>
              </w:rPr>
            </w:pPr>
            <w:r w:rsidRPr="00C4026F">
              <w:rPr>
                <w:rFonts w:ascii="Palatino Linotype" w:hAnsi="Palatino Linotype"/>
                <w:sz w:val="20"/>
                <w:szCs w:val="20"/>
              </w:rPr>
              <w:t>Orta</w:t>
            </w:r>
          </w:p>
        </w:tc>
      </w:tr>
    </w:tbl>
    <w:p w:rsidR="00F906C1" w:rsidRPr="00C4026F" w:rsidRDefault="00302BB9" w:rsidP="008575F6">
      <w:pPr>
        <w:spacing w:before="240" w:after="240" w:line="240" w:lineRule="auto"/>
        <w:ind w:firstLine="709"/>
        <w:jc w:val="both"/>
        <w:rPr>
          <w:rFonts w:ascii="Palatino Linotype" w:hAnsi="Palatino Linotype" w:cs="Times New Roman"/>
          <w:sz w:val="20"/>
          <w:szCs w:val="20"/>
        </w:rPr>
      </w:pPr>
      <w:r w:rsidRPr="00C4026F">
        <w:rPr>
          <w:rFonts w:ascii="Palatino Linotype" w:hAnsi="Palatino Linotype" w:cs="Times New Roman"/>
          <w:sz w:val="20"/>
          <w:szCs w:val="20"/>
        </w:rPr>
        <w:t>Tablo 3’teki bulgular incelendiğinde, 1. kümede yer alan katılımcıların ÖODA ortalamaları 2.23 ve PODA ortalamaları 4.00 olarak hesaplanmıştır. SDAÖ’nün yorumlanmasında kullanılan puan aralıklarına göre, birinci kümede yer alan öğrencilerin sınıf değerlendirme atmosferine yönelik düşük öğrenme odaklı algı ve yüksek performans odaklı algıya sahip oldukları söylenebilir. 2. kümede yer alan öğrencilerin ÖODA ortalamaları 3.68 v</w:t>
      </w:r>
      <w:r w:rsidR="003B428A" w:rsidRPr="00C4026F">
        <w:rPr>
          <w:rFonts w:ascii="Palatino Linotype" w:hAnsi="Palatino Linotype" w:cs="Times New Roman"/>
          <w:sz w:val="20"/>
          <w:szCs w:val="20"/>
        </w:rPr>
        <w:t xml:space="preserve">e PODA 2.45 olarak bulunmuştur. </w:t>
      </w:r>
      <w:r w:rsidRPr="00C4026F">
        <w:rPr>
          <w:rFonts w:ascii="Palatino Linotype" w:hAnsi="Palatino Linotype" w:cs="Times New Roman"/>
          <w:sz w:val="20"/>
          <w:szCs w:val="20"/>
        </w:rPr>
        <w:t>SDAÖ’nün yorumlanmasında kullanılan puan aralıkları, bu kümedeki öğrencilerin sınıf değerlendirme atmosferine yönelik yüksek öğrenme odaklı algı ile düşük performans odaklı algıya sahip olduklarını göstermektedir. 3. kümede yer alan öğrencilerin ise, ÖODA ortalamaları 2.98 ve PODA ortalamaları 3.11 olarak elde edilmiştir. SDAÖ’nün yorumlanmasında kullanılan puan aralıklarından hareketle, bu kümedeki öğrencilerin sınıf değerlendirme atmosferine yönelik hem öğrenme hem de performans odaklı algılarının orta düzeyde olduğu ifade edilebilir. Kümeleme analizi sonucunda oluşan grupların ÖODA ve PODA ortalamaları Grafik 1’de ayrıca sunulmuştur.</w:t>
      </w:r>
    </w:p>
    <w:p w:rsidR="00F906C1" w:rsidRPr="00C4026F" w:rsidRDefault="00EF4E92" w:rsidP="008575F6">
      <w:pPr>
        <w:spacing w:before="240" w:after="0" w:line="240" w:lineRule="auto"/>
        <w:jc w:val="center"/>
        <w:rPr>
          <w:rFonts w:ascii="Palatino Linotype" w:hAnsi="Palatino Linotype" w:cs="Times New Roman"/>
          <w:sz w:val="20"/>
          <w:szCs w:val="20"/>
        </w:rPr>
      </w:pPr>
      <w:r w:rsidRPr="00C4026F">
        <w:rPr>
          <w:rFonts w:ascii="Palatino Linotype" w:hAnsi="Palatino Linotype"/>
          <w:noProof/>
          <w:lang w:eastAsia="tr-TR"/>
        </w:rPr>
        <w:drawing>
          <wp:inline distT="0" distB="0" distL="0" distR="0" wp14:anchorId="6A175264" wp14:editId="1BC0AB2F">
            <wp:extent cx="4010025" cy="2476500"/>
            <wp:effectExtent l="0" t="0" r="9525"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02BB9" w:rsidRPr="00C4026F" w:rsidRDefault="00302BB9" w:rsidP="000B259F">
      <w:pPr>
        <w:spacing w:after="200" w:line="240" w:lineRule="auto"/>
        <w:jc w:val="center"/>
        <w:rPr>
          <w:rFonts w:ascii="Palatino Linotype" w:hAnsi="Palatino Linotype"/>
          <w:sz w:val="20"/>
          <w:szCs w:val="20"/>
        </w:rPr>
      </w:pPr>
      <w:r w:rsidRPr="00C4026F">
        <w:rPr>
          <w:rFonts w:ascii="Palatino Linotype" w:hAnsi="Palatino Linotype" w:cs="Times New Roman"/>
          <w:b/>
          <w:i/>
          <w:sz w:val="20"/>
          <w:szCs w:val="20"/>
        </w:rPr>
        <w:t>Grafik 1:</w:t>
      </w:r>
      <w:r w:rsidRPr="00C4026F">
        <w:rPr>
          <w:rFonts w:ascii="Palatino Linotype" w:hAnsi="Palatino Linotype" w:cs="Times New Roman"/>
          <w:b/>
          <w:sz w:val="20"/>
          <w:szCs w:val="20"/>
        </w:rPr>
        <w:t xml:space="preserve"> </w:t>
      </w:r>
      <w:r w:rsidRPr="00C4026F">
        <w:rPr>
          <w:rFonts w:ascii="Palatino Linotype" w:hAnsi="Palatino Linotype" w:cs="Times New Roman"/>
          <w:sz w:val="20"/>
          <w:szCs w:val="20"/>
        </w:rPr>
        <w:t>Kümeleme Analizi Sonucunda Oluşan Grupların ÖODA ve PODA’ya İlişkin Ortalamaları</w:t>
      </w:r>
    </w:p>
    <w:p w:rsidR="005137D6" w:rsidRDefault="005137D6">
      <w:pPr>
        <w:rPr>
          <w:rFonts w:ascii="Palatino Linotype" w:hAnsi="Palatino Linotype" w:cs="Times New Roman"/>
          <w:sz w:val="20"/>
          <w:szCs w:val="20"/>
        </w:rPr>
      </w:pPr>
      <w:r>
        <w:rPr>
          <w:rFonts w:ascii="Palatino Linotype" w:hAnsi="Palatino Linotype" w:cs="Times New Roman"/>
          <w:sz w:val="20"/>
          <w:szCs w:val="20"/>
        </w:rPr>
        <w:br w:type="page"/>
      </w:r>
    </w:p>
    <w:p w:rsidR="00302BB9" w:rsidRPr="00C4026F" w:rsidRDefault="00302BB9" w:rsidP="005137D6">
      <w:pPr>
        <w:spacing w:after="240" w:line="240" w:lineRule="auto"/>
        <w:ind w:firstLine="709"/>
        <w:jc w:val="both"/>
        <w:rPr>
          <w:rFonts w:ascii="Palatino Linotype" w:hAnsi="Palatino Linotype" w:cs="Times New Roman"/>
          <w:sz w:val="20"/>
          <w:szCs w:val="20"/>
        </w:rPr>
      </w:pPr>
      <w:r w:rsidRPr="00C4026F">
        <w:rPr>
          <w:rFonts w:ascii="Palatino Linotype" w:hAnsi="Palatino Linotype" w:cs="Times New Roman"/>
          <w:sz w:val="20"/>
          <w:szCs w:val="20"/>
        </w:rPr>
        <w:lastRenderedPageBreak/>
        <w:t>Kümeleme analizinden elde edilen bulgulara göre, farklı gruplarda yer aldığı tespit edilen öğrencilerin ÖODA ve PODA ortalamaları arasındaki farkın istatistiksel olarak anlamlı olup olmadığını tespit etmek için ANOVA uygulanmıştır. ANOVA’dan elde edilen bulgulara göre, farklı kümelerde yer alan öğrencilerin gerek ÖODA [F</w:t>
      </w:r>
      <w:r w:rsidRPr="00C4026F">
        <w:rPr>
          <w:rFonts w:ascii="Palatino Linotype" w:hAnsi="Palatino Linotype" w:cs="Times New Roman"/>
          <w:sz w:val="20"/>
          <w:szCs w:val="20"/>
          <w:vertAlign w:val="subscript"/>
        </w:rPr>
        <w:t>(2,493)</w:t>
      </w:r>
      <w:r w:rsidRPr="00C4026F">
        <w:rPr>
          <w:rFonts w:ascii="Palatino Linotype" w:hAnsi="Palatino Linotype" w:cs="Times New Roman"/>
          <w:sz w:val="20"/>
          <w:szCs w:val="20"/>
        </w:rPr>
        <w:t>=</w:t>
      </w:r>
      <w:proofErr w:type="gramStart"/>
      <w:r w:rsidRPr="00C4026F">
        <w:rPr>
          <w:rFonts w:ascii="Palatino Linotype" w:hAnsi="Palatino Linotype" w:cs="Times New Roman"/>
          <w:sz w:val="20"/>
          <w:szCs w:val="20"/>
        </w:rPr>
        <w:t>467.98</w:t>
      </w:r>
      <w:proofErr w:type="gramEnd"/>
      <w:r w:rsidRPr="00C4026F">
        <w:rPr>
          <w:rFonts w:ascii="Palatino Linotype" w:hAnsi="Palatino Linotype" w:cs="Times New Roman"/>
          <w:sz w:val="20"/>
          <w:szCs w:val="20"/>
        </w:rPr>
        <w:t>, p&lt;.01] gerekse de PODA [F</w:t>
      </w:r>
      <w:r w:rsidRPr="00C4026F">
        <w:rPr>
          <w:rFonts w:ascii="Palatino Linotype" w:hAnsi="Palatino Linotype" w:cs="Times New Roman"/>
          <w:sz w:val="20"/>
          <w:szCs w:val="20"/>
          <w:vertAlign w:val="subscript"/>
        </w:rPr>
        <w:t>(2,493)</w:t>
      </w:r>
      <w:r w:rsidRPr="00C4026F">
        <w:rPr>
          <w:rFonts w:ascii="Palatino Linotype" w:hAnsi="Palatino Linotype" w:cs="Times New Roman"/>
          <w:sz w:val="20"/>
          <w:szCs w:val="20"/>
        </w:rPr>
        <w:t xml:space="preserve">=596.78, </w:t>
      </w:r>
      <w:r w:rsidRPr="00C4026F">
        <w:rPr>
          <w:rFonts w:ascii="Palatino Linotype" w:hAnsi="Palatino Linotype" w:cs="Times New Roman"/>
          <w:i/>
          <w:sz w:val="20"/>
          <w:szCs w:val="20"/>
        </w:rPr>
        <w:t>p</w:t>
      </w:r>
      <w:r w:rsidRPr="00C4026F">
        <w:rPr>
          <w:rFonts w:ascii="Palatino Linotype" w:hAnsi="Palatino Linotype" w:cs="Times New Roman"/>
          <w:sz w:val="20"/>
          <w:szCs w:val="20"/>
        </w:rPr>
        <w:t>&lt;.01] algıları arasındaki farklılıkların istatistiksel açıdan anlamlı olduğu tespit edilmiştir. Bu tespitin ardından öğrencilerin MTE-ÖF’ün duygusal tükenme, duyarsızlaşma ve yetkinlik boyutlarından aldıkları puanların kümeleme analizi sonucunda oluşan gruplara göre farklılık gösterip göstermediği Tek Yönlü ANOVA ile incelenmiştir. Analiz sonucunda elde edilen bulgular Tablo 4’te sunulmuştur.</w:t>
      </w:r>
    </w:p>
    <w:tbl>
      <w:tblPr>
        <w:tblStyle w:val="TabloKlavuzu"/>
        <w:tblW w:w="9072" w:type="dxa"/>
        <w:tblBorders>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992"/>
        <w:gridCol w:w="709"/>
        <w:gridCol w:w="709"/>
        <w:gridCol w:w="708"/>
        <w:gridCol w:w="709"/>
        <w:gridCol w:w="709"/>
        <w:gridCol w:w="567"/>
        <w:gridCol w:w="709"/>
        <w:gridCol w:w="1700"/>
      </w:tblGrid>
      <w:tr w:rsidR="00221F10" w:rsidRPr="00C4026F" w:rsidTr="00A22789">
        <w:trPr>
          <w:trHeight w:val="113"/>
        </w:trPr>
        <w:tc>
          <w:tcPr>
            <w:tcW w:w="9072" w:type="dxa"/>
            <w:gridSpan w:val="10"/>
            <w:tcBorders>
              <w:top w:val="nil"/>
            </w:tcBorders>
            <w:shd w:val="clear" w:color="auto" w:fill="auto"/>
            <w:vAlign w:val="center"/>
          </w:tcPr>
          <w:p w:rsidR="00221F10" w:rsidRPr="00C4026F" w:rsidRDefault="00A22789" w:rsidP="00B67E49">
            <w:pPr>
              <w:spacing w:after="20"/>
              <w:rPr>
                <w:rFonts w:ascii="Palatino Linotype" w:hAnsi="Palatino Linotype"/>
                <w:sz w:val="20"/>
                <w:szCs w:val="20"/>
              </w:rPr>
            </w:pPr>
            <w:r w:rsidRPr="00C4026F">
              <w:rPr>
                <w:rFonts w:ascii="Palatino Linotype" w:hAnsi="Palatino Linotype" w:cs="Times New Roman"/>
                <w:b/>
                <w:sz w:val="20"/>
                <w:szCs w:val="20"/>
              </w:rPr>
              <w:t>Tablo 4.</w:t>
            </w:r>
            <w:r w:rsidRPr="00C4026F">
              <w:rPr>
                <w:rFonts w:ascii="Palatino Linotype" w:hAnsi="Palatino Linotype" w:cs="Times New Roman"/>
                <w:sz w:val="20"/>
                <w:szCs w:val="20"/>
              </w:rPr>
              <w:t xml:space="preserve"> Kümeleme Analizi Sonucunda Oluşan Gruplara Göre Duygusal Tükenme, Duyarsızlaşma ve Yetkinlik Puanlarının ANOVA Sonuçları</w:t>
            </w:r>
          </w:p>
        </w:tc>
      </w:tr>
      <w:tr w:rsidR="00302BB9" w:rsidRPr="00C4026F" w:rsidTr="00A22789">
        <w:trPr>
          <w:trHeight w:val="113"/>
        </w:trPr>
        <w:tc>
          <w:tcPr>
            <w:tcW w:w="1560" w:type="dxa"/>
            <w:tcBorders>
              <w:top w:val="single" w:sz="2" w:space="0" w:color="auto"/>
            </w:tcBorders>
            <w:shd w:val="clear" w:color="auto" w:fill="auto"/>
            <w:vAlign w:val="center"/>
          </w:tcPr>
          <w:p w:rsidR="00302BB9" w:rsidRPr="00616950" w:rsidRDefault="00302BB9" w:rsidP="008575F6">
            <w:pPr>
              <w:jc w:val="center"/>
              <w:rPr>
                <w:rFonts w:ascii="Palatino Linotype" w:hAnsi="Palatino Linotype"/>
                <w:b/>
                <w:sz w:val="20"/>
                <w:szCs w:val="20"/>
              </w:rPr>
            </w:pPr>
            <w:r w:rsidRPr="00616950">
              <w:rPr>
                <w:rFonts w:ascii="Palatino Linotype" w:hAnsi="Palatino Linotype"/>
                <w:b/>
                <w:sz w:val="20"/>
                <w:szCs w:val="20"/>
              </w:rPr>
              <w:t>MTE-ÖF Boyutları</w:t>
            </w:r>
          </w:p>
        </w:tc>
        <w:tc>
          <w:tcPr>
            <w:tcW w:w="992" w:type="dxa"/>
            <w:tcBorders>
              <w:top w:val="single" w:sz="2" w:space="0" w:color="auto"/>
              <w:bottom w:val="single" w:sz="4" w:space="0" w:color="auto"/>
            </w:tcBorders>
            <w:shd w:val="clear" w:color="auto" w:fill="auto"/>
            <w:vAlign w:val="center"/>
          </w:tcPr>
          <w:p w:rsidR="00302BB9" w:rsidRPr="00616950" w:rsidRDefault="00302BB9" w:rsidP="008575F6">
            <w:pPr>
              <w:jc w:val="center"/>
              <w:rPr>
                <w:rFonts w:ascii="Palatino Linotype" w:hAnsi="Palatino Linotype"/>
                <w:b/>
                <w:sz w:val="20"/>
                <w:szCs w:val="20"/>
              </w:rPr>
            </w:pPr>
            <w:r w:rsidRPr="00616950">
              <w:rPr>
                <w:rFonts w:ascii="Palatino Linotype" w:hAnsi="Palatino Linotype"/>
                <w:b/>
                <w:sz w:val="20"/>
                <w:szCs w:val="20"/>
              </w:rPr>
              <w:t>Kümeler</w:t>
            </w:r>
          </w:p>
        </w:tc>
        <w:tc>
          <w:tcPr>
            <w:tcW w:w="709" w:type="dxa"/>
            <w:tcBorders>
              <w:top w:val="single" w:sz="2" w:space="0" w:color="auto"/>
              <w:bottom w:val="single" w:sz="4" w:space="0" w:color="auto"/>
            </w:tcBorders>
            <w:shd w:val="clear" w:color="auto" w:fill="auto"/>
            <w:vAlign w:val="center"/>
          </w:tcPr>
          <w:p w:rsidR="00302BB9" w:rsidRPr="00616950" w:rsidRDefault="00302BB9" w:rsidP="008575F6">
            <w:pPr>
              <w:jc w:val="center"/>
              <w:rPr>
                <w:rFonts w:ascii="Palatino Linotype" w:hAnsi="Palatino Linotype"/>
                <w:b/>
                <w:sz w:val="20"/>
                <w:szCs w:val="20"/>
              </w:rPr>
            </w:pPr>
            <w:proofErr w:type="gramStart"/>
            <w:r w:rsidRPr="00616950">
              <w:rPr>
                <w:rFonts w:ascii="Palatino Linotype" w:hAnsi="Palatino Linotype"/>
                <w:b/>
                <w:sz w:val="20"/>
                <w:szCs w:val="20"/>
              </w:rPr>
              <w:t>n</w:t>
            </w:r>
            <w:proofErr w:type="gramEnd"/>
          </w:p>
        </w:tc>
        <w:tc>
          <w:tcPr>
            <w:tcW w:w="709" w:type="dxa"/>
            <w:tcBorders>
              <w:top w:val="single" w:sz="2" w:space="0" w:color="auto"/>
              <w:bottom w:val="single" w:sz="4" w:space="0" w:color="auto"/>
            </w:tcBorders>
            <w:shd w:val="clear" w:color="auto" w:fill="auto"/>
            <w:vAlign w:val="center"/>
          </w:tcPr>
          <w:p w:rsidR="00302BB9" w:rsidRPr="00616950" w:rsidRDefault="00302BB9" w:rsidP="008575F6">
            <w:pPr>
              <w:jc w:val="center"/>
              <w:rPr>
                <w:rFonts w:ascii="Palatino Linotype" w:hAnsi="Palatino Linotype"/>
                <w:b/>
                <w:sz w:val="20"/>
                <w:szCs w:val="20"/>
              </w:rPr>
            </w:pPr>
            <w:r w:rsidRPr="00616950">
              <w:rPr>
                <w:rFonts w:ascii="Palatino Linotype" w:hAnsi="Palatino Linotype"/>
                <w:b/>
                <w:position w:val="-4"/>
                <w:sz w:val="20"/>
                <w:szCs w:val="20"/>
              </w:rPr>
              <w:object w:dxaOrig="279" w:dyaOrig="320">
                <v:shape id="_x0000_i1026" type="#_x0000_t75" style="width:14.6pt;height:15.45pt" o:ole="">
                  <v:imagedata r:id="rId11" o:title=""/>
                </v:shape>
                <o:OLEObject Type="Embed" ProgID="Equation.3" ShapeID="_x0000_i1026" DrawAspect="Content" ObjectID="_1480324508" r:id="rId12"/>
              </w:object>
            </w:r>
          </w:p>
        </w:tc>
        <w:tc>
          <w:tcPr>
            <w:tcW w:w="708" w:type="dxa"/>
            <w:tcBorders>
              <w:top w:val="single" w:sz="2" w:space="0" w:color="auto"/>
              <w:bottom w:val="single" w:sz="4" w:space="0" w:color="auto"/>
            </w:tcBorders>
            <w:shd w:val="clear" w:color="auto" w:fill="auto"/>
            <w:vAlign w:val="center"/>
          </w:tcPr>
          <w:p w:rsidR="00302BB9" w:rsidRPr="00616950" w:rsidRDefault="00302BB9" w:rsidP="008575F6">
            <w:pPr>
              <w:jc w:val="center"/>
              <w:rPr>
                <w:rFonts w:ascii="Palatino Linotype" w:hAnsi="Palatino Linotype"/>
                <w:b/>
                <w:sz w:val="20"/>
                <w:szCs w:val="20"/>
              </w:rPr>
            </w:pPr>
            <w:proofErr w:type="spellStart"/>
            <w:r w:rsidRPr="00616950">
              <w:rPr>
                <w:rFonts w:ascii="Palatino Linotype" w:hAnsi="Palatino Linotype"/>
                <w:b/>
                <w:sz w:val="20"/>
                <w:szCs w:val="20"/>
              </w:rPr>
              <w:t>ss</w:t>
            </w:r>
            <w:proofErr w:type="spellEnd"/>
          </w:p>
        </w:tc>
        <w:tc>
          <w:tcPr>
            <w:tcW w:w="709" w:type="dxa"/>
            <w:tcBorders>
              <w:top w:val="single" w:sz="2" w:space="0" w:color="auto"/>
            </w:tcBorders>
            <w:shd w:val="clear" w:color="auto" w:fill="auto"/>
            <w:vAlign w:val="center"/>
          </w:tcPr>
          <w:p w:rsidR="00302BB9" w:rsidRPr="00616950" w:rsidRDefault="00302BB9" w:rsidP="008575F6">
            <w:pPr>
              <w:jc w:val="center"/>
              <w:rPr>
                <w:rFonts w:ascii="Palatino Linotype" w:hAnsi="Palatino Linotype"/>
                <w:b/>
                <w:sz w:val="20"/>
                <w:szCs w:val="20"/>
              </w:rPr>
            </w:pPr>
            <w:r w:rsidRPr="00616950">
              <w:rPr>
                <w:rFonts w:ascii="Palatino Linotype" w:hAnsi="Palatino Linotype"/>
                <w:b/>
                <w:sz w:val="20"/>
                <w:szCs w:val="20"/>
              </w:rPr>
              <w:t>sd</w:t>
            </w:r>
          </w:p>
        </w:tc>
        <w:tc>
          <w:tcPr>
            <w:tcW w:w="709" w:type="dxa"/>
            <w:tcBorders>
              <w:top w:val="single" w:sz="2" w:space="0" w:color="auto"/>
            </w:tcBorders>
            <w:shd w:val="clear" w:color="auto" w:fill="auto"/>
            <w:vAlign w:val="center"/>
          </w:tcPr>
          <w:p w:rsidR="00302BB9" w:rsidRPr="00616950" w:rsidRDefault="00302BB9" w:rsidP="008575F6">
            <w:pPr>
              <w:jc w:val="center"/>
              <w:rPr>
                <w:rFonts w:ascii="Palatino Linotype" w:hAnsi="Palatino Linotype"/>
                <w:b/>
                <w:sz w:val="20"/>
                <w:szCs w:val="20"/>
              </w:rPr>
            </w:pPr>
            <w:r w:rsidRPr="00616950">
              <w:rPr>
                <w:rFonts w:ascii="Palatino Linotype" w:hAnsi="Palatino Linotype"/>
                <w:b/>
                <w:sz w:val="20"/>
                <w:szCs w:val="20"/>
              </w:rPr>
              <w:t>F</w:t>
            </w:r>
          </w:p>
        </w:tc>
        <w:tc>
          <w:tcPr>
            <w:tcW w:w="567" w:type="dxa"/>
            <w:tcBorders>
              <w:top w:val="single" w:sz="2" w:space="0" w:color="auto"/>
            </w:tcBorders>
            <w:shd w:val="clear" w:color="auto" w:fill="auto"/>
            <w:vAlign w:val="center"/>
          </w:tcPr>
          <w:p w:rsidR="00302BB9" w:rsidRPr="00616950" w:rsidRDefault="00302BB9" w:rsidP="008575F6">
            <w:pPr>
              <w:jc w:val="center"/>
              <w:rPr>
                <w:rFonts w:ascii="Palatino Linotype" w:hAnsi="Palatino Linotype"/>
                <w:b/>
                <w:sz w:val="20"/>
                <w:szCs w:val="20"/>
              </w:rPr>
            </w:pPr>
            <w:proofErr w:type="gramStart"/>
            <w:r w:rsidRPr="00616950">
              <w:rPr>
                <w:rFonts w:ascii="Palatino Linotype" w:hAnsi="Palatino Linotype"/>
                <w:b/>
                <w:sz w:val="20"/>
                <w:szCs w:val="20"/>
              </w:rPr>
              <w:t>p</w:t>
            </w:r>
            <w:proofErr w:type="gramEnd"/>
          </w:p>
        </w:tc>
        <w:tc>
          <w:tcPr>
            <w:tcW w:w="709" w:type="dxa"/>
            <w:tcBorders>
              <w:top w:val="single" w:sz="2" w:space="0" w:color="auto"/>
            </w:tcBorders>
            <w:shd w:val="clear" w:color="auto" w:fill="auto"/>
          </w:tcPr>
          <w:p w:rsidR="00302BB9" w:rsidRPr="00616950" w:rsidRDefault="00302BB9" w:rsidP="008575F6">
            <w:pPr>
              <w:jc w:val="center"/>
              <w:rPr>
                <w:rFonts w:ascii="Palatino Linotype" w:hAnsi="Palatino Linotype"/>
                <w:b/>
                <w:sz w:val="20"/>
                <w:szCs w:val="20"/>
              </w:rPr>
            </w:pPr>
            <w:proofErr w:type="spellStart"/>
            <w:r w:rsidRPr="00616950">
              <w:rPr>
                <w:rFonts w:ascii="Palatino Linotype" w:hAnsi="Palatino Linotype"/>
                <w:b/>
                <w:sz w:val="20"/>
                <w:szCs w:val="20"/>
              </w:rPr>
              <w:t>Eta</w:t>
            </w:r>
            <w:proofErr w:type="spellEnd"/>
            <w:r w:rsidRPr="00616950">
              <w:rPr>
                <w:rFonts w:ascii="Palatino Linotype" w:hAnsi="Palatino Linotype"/>
                <w:b/>
                <w:sz w:val="20"/>
                <w:szCs w:val="20"/>
              </w:rPr>
              <w:t xml:space="preserve"> Kare</w:t>
            </w:r>
          </w:p>
        </w:tc>
        <w:tc>
          <w:tcPr>
            <w:tcW w:w="1700" w:type="dxa"/>
            <w:tcBorders>
              <w:top w:val="single" w:sz="2" w:space="0" w:color="auto"/>
            </w:tcBorders>
            <w:shd w:val="clear" w:color="auto" w:fill="auto"/>
            <w:vAlign w:val="center"/>
          </w:tcPr>
          <w:p w:rsidR="00302BB9" w:rsidRPr="00616950" w:rsidRDefault="00302BB9" w:rsidP="008575F6">
            <w:pPr>
              <w:jc w:val="center"/>
              <w:rPr>
                <w:rFonts w:ascii="Palatino Linotype" w:hAnsi="Palatino Linotype"/>
                <w:b/>
                <w:sz w:val="20"/>
                <w:szCs w:val="20"/>
              </w:rPr>
            </w:pPr>
            <w:r w:rsidRPr="00616950">
              <w:rPr>
                <w:rFonts w:ascii="Palatino Linotype" w:hAnsi="Palatino Linotype"/>
                <w:b/>
                <w:sz w:val="20"/>
                <w:szCs w:val="20"/>
              </w:rPr>
              <w:t xml:space="preserve">Farkın </w:t>
            </w:r>
          </w:p>
          <w:p w:rsidR="00302BB9" w:rsidRPr="00616950" w:rsidRDefault="00302BB9" w:rsidP="008575F6">
            <w:pPr>
              <w:jc w:val="center"/>
              <w:rPr>
                <w:rFonts w:ascii="Palatino Linotype" w:hAnsi="Palatino Linotype"/>
                <w:b/>
                <w:sz w:val="20"/>
                <w:szCs w:val="20"/>
              </w:rPr>
            </w:pPr>
            <w:r w:rsidRPr="00616950">
              <w:rPr>
                <w:rFonts w:ascii="Palatino Linotype" w:hAnsi="Palatino Linotype"/>
                <w:b/>
                <w:sz w:val="20"/>
                <w:szCs w:val="20"/>
              </w:rPr>
              <w:t>Kaynağı</w:t>
            </w:r>
          </w:p>
        </w:tc>
      </w:tr>
      <w:tr w:rsidR="00302BB9" w:rsidRPr="00C4026F" w:rsidTr="00A22789">
        <w:trPr>
          <w:trHeight w:val="113"/>
        </w:trPr>
        <w:tc>
          <w:tcPr>
            <w:tcW w:w="1560" w:type="dxa"/>
            <w:vMerge w:val="restart"/>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Duygusal Tükenme</w:t>
            </w:r>
          </w:p>
        </w:tc>
        <w:tc>
          <w:tcPr>
            <w:tcW w:w="992" w:type="dxa"/>
            <w:tcBorders>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w:t>
            </w:r>
          </w:p>
        </w:tc>
        <w:tc>
          <w:tcPr>
            <w:tcW w:w="709" w:type="dxa"/>
            <w:tcBorders>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131</w:t>
            </w:r>
          </w:p>
        </w:tc>
        <w:tc>
          <w:tcPr>
            <w:tcW w:w="709" w:type="dxa"/>
            <w:tcBorders>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3.99</w:t>
            </w:r>
          </w:p>
        </w:tc>
        <w:tc>
          <w:tcPr>
            <w:tcW w:w="708" w:type="dxa"/>
            <w:tcBorders>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.82</w:t>
            </w:r>
          </w:p>
        </w:tc>
        <w:tc>
          <w:tcPr>
            <w:tcW w:w="709" w:type="dxa"/>
            <w:vMerge w:val="restart"/>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2-493</w:t>
            </w:r>
          </w:p>
        </w:tc>
        <w:tc>
          <w:tcPr>
            <w:tcW w:w="709" w:type="dxa"/>
            <w:vMerge w:val="restart"/>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49.52</w:t>
            </w:r>
          </w:p>
        </w:tc>
        <w:tc>
          <w:tcPr>
            <w:tcW w:w="567" w:type="dxa"/>
            <w:vMerge w:val="restart"/>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.00</w:t>
            </w:r>
          </w:p>
        </w:tc>
        <w:tc>
          <w:tcPr>
            <w:tcW w:w="709" w:type="dxa"/>
            <w:vMerge w:val="restart"/>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.17</w:t>
            </w:r>
          </w:p>
        </w:tc>
        <w:tc>
          <w:tcPr>
            <w:tcW w:w="1700" w:type="dxa"/>
            <w:vMerge w:val="restart"/>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Tüm ikili karşılaştırmalar için anlamlı fark bulunmaktadır.</w:t>
            </w:r>
          </w:p>
        </w:tc>
      </w:tr>
      <w:tr w:rsidR="00302BB9" w:rsidRPr="00C4026F" w:rsidTr="00A22789">
        <w:trPr>
          <w:trHeight w:val="113"/>
        </w:trPr>
        <w:tc>
          <w:tcPr>
            <w:tcW w:w="1560" w:type="dxa"/>
            <w:vMerge/>
            <w:shd w:val="clear" w:color="auto" w:fill="auto"/>
            <w:vAlign w:val="center"/>
          </w:tcPr>
          <w:p w:rsidR="00302BB9" w:rsidRPr="00C4026F" w:rsidRDefault="00302BB9" w:rsidP="008575F6">
            <w:pPr>
              <w:jc w:val="center"/>
              <w:rPr>
                <w:rFonts w:ascii="Palatino Linotype" w:hAnsi="Palatino Linotype"/>
                <w:sz w:val="20"/>
                <w:szCs w:val="20"/>
              </w:rPr>
            </w:pPr>
          </w:p>
        </w:tc>
        <w:tc>
          <w:tcPr>
            <w:tcW w:w="992" w:type="dxa"/>
            <w:tcBorders>
              <w:top w:val="nil"/>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w:t>
            </w:r>
          </w:p>
        </w:tc>
        <w:tc>
          <w:tcPr>
            <w:tcW w:w="709" w:type="dxa"/>
            <w:tcBorders>
              <w:top w:val="nil"/>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163</w:t>
            </w:r>
          </w:p>
        </w:tc>
        <w:tc>
          <w:tcPr>
            <w:tcW w:w="709" w:type="dxa"/>
            <w:tcBorders>
              <w:top w:val="nil"/>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2.89</w:t>
            </w:r>
          </w:p>
        </w:tc>
        <w:tc>
          <w:tcPr>
            <w:tcW w:w="708" w:type="dxa"/>
            <w:tcBorders>
              <w:top w:val="nil"/>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1.14</w:t>
            </w:r>
          </w:p>
        </w:tc>
        <w:tc>
          <w:tcPr>
            <w:tcW w:w="709" w:type="dxa"/>
            <w:vMerge/>
            <w:shd w:val="clear" w:color="auto" w:fill="auto"/>
            <w:vAlign w:val="center"/>
          </w:tcPr>
          <w:p w:rsidR="00302BB9" w:rsidRPr="00C4026F" w:rsidRDefault="00302BB9" w:rsidP="008575F6">
            <w:pPr>
              <w:jc w:val="center"/>
              <w:rPr>
                <w:rFonts w:ascii="Palatino Linotype" w:hAnsi="Palatino Linotype"/>
                <w:sz w:val="20"/>
                <w:szCs w:val="20"/>
              </w:rPr>
            </w:pPr>
          </w:p>
        </w:tc>
        <w:tc>
          <w:tcPr>
            <w:tcW w:w="709" w:type="dxa"/>
            <w:vMerge/>
            <w:shd w:val="clear" w:color="auto" w:fill="auto"/>
            <w:vAlign w:val="center"/>
          </w:tcPr>
          <w:p w:rsidR="00302BB9" w:rsidRPr="00C4026F" w:rsidRDefault="00302BB9" w:rsidP="008575F6">
            <w:pPr>
              <w:jc w:val="center"/>
              <w:rPr>
                <w:rFonts w:ascii="Palatino Linotype" w:hAnsi="Palatino Linotype"/>
                <w:sz w:val="20"/>
                <w:szCs w:val="20"/>
              </w:rPr>
            </w:pPr>
          </w:p>
        </w:tc>
        <w:tc>
          <w:tcPr>
            <w:tcW w:w="567" w:type="dxa"/>
            <w:vMerge/>
            <w:shd w:val="clear" w:color="auto" w:fill="auto"/>
            <w:vAlign w:val="center"/>
          </w:tcPr>
          <w:p w:rsidR="00302BB9" w:rsidRPr="00C4026F" w:rsidRDefault="00302BB9" w:rsidP="008575F6">
            <w:pPr>
              <w:jc w:val="center"/>
              <w:rPr>
                <w:rFonts w:ascii="Palatino Linotype" w:hAnsi="Palatino Linotype"/>
                <w:sz w:val="20"/>
                <w:szCs w:val="20"/>
              </w:rPr>
            </w:pPr>
          </w:p>
        </w:tc>
        <w:tc>
          <w:tcPr>
            <w:tcW w:w="709" w:type="dxa"/>
            <w:vMerge/>
            <w:shd w:val="clear" w:color="auto" w:fill="auto"/>
            <w:vAlign w:val="center"/>
          </w:tcPr>
          <w:p w:rsidR="00302BB9" w:rsidRPr="00C4026F" w:rsidRDefault="00302BB9" w:rsidP="008575F6">
            <w:pPr>
              <w:jc w:val="center"/>
              <w:rPr>
                <w:rFonts w:ascii="Palatino Linotype" w:hAnsi="Palatino Linotype"/>
                <w:sz w:val="20"/>
                <w:szCs w:val="20"/>
              </w:rPr>
            </w:pPr>
          </w:p>
        </w:tc>
        <w:tc>
          <w:tcPr>
            <w:tcW w:w="1700" w:type="dxa"/>
            <w:vMerge/>
            <w:shd w:val="clear" w:color="auto" w:fill="auto"/>
          </w:tcPr>
          <w:p w:rsidR="00302BB9" w:rsidRPr="00C4026F" w:rsidRDefault="00302BB9" w:rsidP="008575F6">
            <w:pPr>
              <w:jc w:val="both"/>
              <w:rPr>
                <w:rFonts w:ascii="Palatino Linotype" w:hAnsi="Palatino Linotype"/>
                <w:sz w:val="20"/>
                <w:szCs w:val="20"/>
              </w:rPr>
            </w:pPr>
          </w:p>
        </w:tc>
      </w:tr>
      <w:tr w:rsidR="00302BB9" w:rsidRPr="00C4026F" w:rsidTr="00A22789">
        <w:trPr>
          <w:trHeight w:val="113"/>
        </w:trPr>
        <w:tc>
          <w:tcPr>
            <w:tcW w:w="1560" w:type="dxa"/>
            <w:vMerge/>
            <w:tcBorders>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992" w:type="dxa"/>
            <w:tcBorders>
              <w:top w:val="nil"/>
              <w:bottom w:val="single" w:sz="2" w:space="0" w:color="auto"/>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w:t>
            </w:r>
          </w:p>
        </w:tc>
        <w:tc>
          <w:tcPr>
            <w:tcW w:w="709" w:type="dxa"/>
            <w:tcBorders>
              <w:top w:val="nil"/>
              <w:bottom w:val="single" w:sz="2" w:space="0" w:color="auto"/>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202</w:t>
            </w:r>
          </w:p>
        </w:tc>
        <w:tc>
          <w:tcPr>
            <w:tcW w:w="709" w:type="dxa"/>
            <w:tcBorders>
              <w:top w:val="nil"/>
              <w:bottom w:val="single" w:sz="2" w:space="0" w:color="auto"/>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3.36</w:t>
            </w:r>
          </w:p>
        </w:tc>
        <w:tc>
          <w:tcPr>
            <w:tcW w:w="708" w:type="dxa"/>
            <w:tcBorders>
              <w:top w:val="nil"/>
              <w:bottom w:val="single" w:sz="2" w:space="0" w:color="auto"/>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.81</w:t>
            </w:r>
          </w:p>
        </w:tc>
        <w:tc>
          <w:tcPr>
            <w:tcW w:w="709" w:type="dxa"/>
            <w:vMerge/>
            <w:tcBorders>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709" w:type="dxa"/>
            <w:vMerge/>
            <w:tcBorders>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567" w:type="dxa"/>
            <w:vMerge/>
            <w:tcBorders>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709" w:type="dxa"/>
            <w:vMerge/>
            <w:tcBorders>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1700" w:type="dxa"/>
            <w:vMerge/>
            <w:shd w:val="clear" w:color="auto" w:fill="auto"/>
          </w:tcPr>
          <w:p w:rsidR="00302BB9" w:rsidRPr="00C4026F" w:rsidRDefault="00302BB9" w:rsidP="008575F6">
            <w:pPr>
              <w:jc w:val="both"/>
              <w:rPr>
                <w:rFonts w:ascii="Palatino Linotype" w:hAnsi="Palatino Linotype"/>
                <w:sz w:val="20"/>
                <w:szCs w:val="20"/>
              </w:rPr>
            </w:pPr>
          </w:p>
        </w:tc>
      </w:tr>
      <w:tr w:rsidR="00302BB9" w:rsidRPr="00C4026F" w:rsidTr="00A22789">
        <w:trPr>
          <w:trHeight w:val="113"/>
        </w:trPr>
        <w:tc>
          <w:tcPr>
            <w:tcW w:w="1560" w:type="dxa"/>
            <w:vMerge w:val="restart"/>
            <w:tcBorders>
              <w:top w:val="single" w:sz="2" w:space="0" w:color="auto"/>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Duyarsızlaşma</w:t>
            </w:r>
          </w:p>
        </w:tc>
        <w:tc>
          <w:tcPr>
            <w:tcW w:w="992" w:type="dxa"/>
            <w:tcBorders>
              <w:top w:val="single" w:sz="2" w:space="0" w:color="auto"/>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w:t>
            </w:r>
          </w:p>
        </w:tc>
        <w:tc>
          <w:tcPr>
            <w:tcW w:w="709" w:type="dxa"/>
            <w:tcBorders>
              <w:top w:val="single" w:sz="2" w:space="0" w:color="auto"/>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131</w:t>
            </w:r>
          </w:p>
        </w:tc>
        <w:tc>
          <w:tcPr>
            <w:tcW w:w="709" w:type="dxa"/>
            <w:tcBorders>
              <w:top w:val="single" w:sz="2" w:space="0" w:color="auto"/>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3.76</w:t>
            </w:r>
          </w:p>
        </w:tc>
        <w:tc>
          <w:tcPr>
            <w:tcW w:w="708" w:type="dxa"/>
            <w:tcBorders>
              <w:top w:val="single" w:sz="2" w:space="0" w:color="auto"/>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1.01</w:t>
            </w:r>
          </w:p>
        </w:tc>
        <w:tc>
          <w:tcPr>
            <w:tcW w:w="709" w:type="dxa"/>
            <w:vMerge w:val="restart"/>
            <w:tcBorders>
              <w:top w:val="single" w:sz="2" w:space="0" w:color="auto"/>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2-493</w:t>
            </w:r>
          </w:p>
        </w:tc>
        <w:tc>
          <w:tcPr>
            <w:tcW w:w="709" w:type="dxa"/>
            <w:vMerge w:val="restart"/>
            <w:tcBorders>
              <w:top w:val="single" w:sz="2" w:space="0" w:color="auto"/>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77.64</w:t>
            </w:r>
          </w:p>
        </w:tc>
        <w:tc>
          <w:tcPr>
            <w:tcW w:w="567" w:type="dxa"/>
            <w:vMerge w:val="restart"/>
            <w:tcBorders>
              <w:top w:val="single" w:sz="2" w:space="0" w:color="auto"/>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.00</w:t>
            </w:r>
          </w:p>
        </w:tc>
        <w:tc>
          <w:tcPr>
            <w:tcW w:w="709" w:type="dxa"/>
            <w:vMerge w:val="restart"/>
            <w:tcBorders>
              <w:top w:val="single" w:sz="2" w:space="0" w:color="auto"/>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.24</w:t>
            </w:r>
          </w:p>
        </w:tc>
        <w:tc>
          <w:tcPr>
            <w:tcW w:w="1700" w:type="dxa"/>
            <w:vMerge/>
            <w:shd w:val="clear" w:color="auto" w:fill="auto"/>
          </w:tcPr>
          <w:p w:rsidR="00302BB9" w:rsidRPr="00C4026F" w:rsidRDefault="00302BB9" w:rsidP="008575F6">
            <w:pPr>
              <w:jc w:val="both"/>
              <w:rPr>
                <w:rFonts w:ascii="Palatino Linotype" w:hAnsi="Palatino Linotype"/>
                <w:sz w:val="20"/>
                <w:szCs w:val="20"/>
              </w:rPr>
            </w:pPr>
          </w:p>
        </w:tc>
      </w:tr>
      <w:tr w:rsidR="00302BB9" w:rsidRPr="00C4026F" w:rsidTr="00A22789">
        <w:trPr>
          <w:trHeight w:val="113"/>
        </w:trPr>
        <w:tc>
          <w:tcPr>
            <w:tcW w:w="1560" w:type="dxa"/>
            <w:vMerge/>
            <w:tcBorders>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992" w:type="dxa"/>
            <w:tcBorders>
              <w:top w:val="nil"/>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w:t>
            </w:r>
          </w:p>
        </w:tc>
        <w:tc>
          <w:tcPr>
            <w:tcW w:w="709" w:type="dxa"/>
            <w:tcBorders>
              <w:top w:val="nil"/>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163</w:t>
            </w:r>
          </w:p>
        </w:tc>
        <w:tc>
          <w:tcPr>
            <w:tcW w:w="709" w:type="dxa"/>
            <w:tcBorders>
              <w:top w:val="nil"/>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2.35</w:t>
            </w:r>
          </w:p>
        </w:tc>
        <w:tc>
          <w:tcPr>
            <w:tcW w:w="708" w:type="dxa"/>
            <w:tcBorders>
              <w:top w:val="nil"/>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.90</w:t>
            </w:r>
          </w:p>
        </w:tc>
        <w:tc>
          <w:tcPr>
            <w:tcW w:w="709" w:type="dxa"/>
            <w:vMerge/>
            <w:tcBorders>
              <w:top w:val="nil"/>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709" w:type="dxa"/>
            <w:vMerge/>
            <w:tcBorders>
              <w:top w:val="nil"/>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567" w:type="dxa"/>
            <w:vMerge/>
            <w:tcBorders>
              <w:top w:val="nil"/>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709" w:type="dxa"/>
            <w:vMerge/>
            <w:tcBorders>
              <w:top w:val="nil"/>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1700" w:type="dxa"/>
            <w:vMerge/>
            <w:shd w:val="clear" w:color="auto" w:fill="auto"/>
          </w:tcPr>
          <w:p w:rsidR="00302BB9" w:rsidRPr="00C4026F" w:rsidRDefault="00302BB9" w:rsidP="008575F6">
            <w:pPr>
              <w:jc w:val="both"/>
              <w:rPr>
                <w:rFonts w:ascii="Palatino Linotype" w:hAnsi="Palatino Linotype"/>
                <w:sz w:val="20"/>
                <w:szCs w:val="20"/>
              </w:rPr>
            </w:pPr>
          </w:p>
        </w:tc>
      </w:tr>
      <w:tr w:rsidR="00302BB9" w:rsidRPr="00C4026F" w:rsidTr="00A22789">
        <w:trPr>
          <w:trHeight w:val="113"/>
        </w:trPr>
        <w:tc>
          <w:tcPr>
            <w:tcW w:w="1560" w:type="dxa"/>
            <w:vMerge/>
            <w:tcBorders>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992" w:type="dxa"/>
            <w:tcBorders>
              <w:top w:val="nil"/>
              <w:bottom w:val="single" w:sz="4" w:space="0" w:color="auto"/>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w:t>
            </w:r>
          </w:p>
        </w:tc>
        <w:tc>
          <w:tcPr>
            <w:tcW w:w="709" w:type="dxa"/>
            <w:tcBorders>
              <w:top w:val="nil"/>
              <w:bottom w:val="single" w:sz="4" w:space="0" w:color="auto"/>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202</w:t>
            </w:r>
          </w:p>
        </w:tc>
        <w:tc>
          <w:tcPr>
            <w:tcW w:w="709" w:type="dxa"/>
            <w:tcBorders>
              <w:top w:val="nil"/>
              <w:bottom w:val="single" w:sz="4" w:space="0" w:color="auto"/>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2.96</w:t>
            </w:r>
          </w:p>
        </w:tc>
        <w:tc>
          <w:tcPr>
            <w:tcW w:w="708" w:type="dxa"/>
            <w:tcBorders>
              <w:top w:val="nil"/>
              <w:bottom w:val="single" w:sz="4" w:space="0" w:color="auto"/>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.97</w:t>
            </w:r>
          </w:p>
        </w:tc>
        <w:tc>
          <w:tcPr>
            <w:tcW w:w="709" w:type="dxa"/>
            <w:vMerge/>
            <w:tcBorders>
              <w:top w:val="nil"/>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709" w:type="dxa"/>
            <w:vMerge/>
            <w:tcBorders>
              <w:top w:val="nil"/>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567" w:type="dxa"/>
            <w:vMerge/>
            <w:tcBorders>
              <w:top w:val="nil"/>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709" w:type="dxa"/>
            <w:vMerge/>
            <w:tcBorders>
              <w:top w:val="nil"/>
              <w:bottom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p>
        </w:tc>
        <w:tc>
          <w:tcPr>
            <w:tcW w:w="1700" w:type="dxa"/>
            <w:vMerge/>
            <w:shd w:val="clear" w:color="auto" w:fill="auto"/>
          </w:tcPr>
          <w:p w:rsidR="00302BB9" w:rsidRPr="00C4026F" w:rsidRDefault="00302BB9" w:rsidP="008575F6">
            <w:pPr>
              <w:jc w:val="both"/>
              <w:rPr>
                <w:rFonts w:ascii="Palatino Linotype" w:hAnsi="Palatino Linotype"/>
                <w:sz w:val="20"/>
                <w:szCs w:val="20"/>
              </w:rPr>
            </w:pPr>
          </w:p>
        </w:tc>
      </w:tr>
      <w:tr w:rsidR="00302BB9" w:rsidRPr="00C4026F" w:rsidTr="00A22789">
        <w:trPr>
          <w:trHeight w:val="113"/>
        </w:trPr>
        <w:tc>
          <w:tcPr>
            <w:tcW w:w="1560" w:type="dxa"/>
            <w:vMerge w:val="restart"/>
            <w:tcBorders>
              <w:top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Yetkinlik</w:t>
            </w:r>
          </w:p>
        </w:tc>
        <w:tc>
          <w:tcPr>
            <w:tcW w:w="992" w:type="dxa"/>
            <w:tcBorders>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w:t>
            </w:r>
          </w:p>
        </w:tc>
        <w:tc>
          <w:tcPr>
            <w:tcW w:w="709" w:type="dxa"/>
            <w:tcBorders>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131</w:t>
            </w:r>
          </w:p>
        </w:tc>
        <w:tc>
          <w:tcPr>
            <w:tcW w:w="709" w:type="dxa"/>
            <w:tcBorders>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3.15</w:t>
            </w:r>
          </w:p>
        </w:tc>
        <w:tc>
          <w:tcPr>
            <w:tcW w:w="708" w:type="dxa"/>
            <w:tcBorders>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.88</w:t>
            </w:r>
          </w:p>
        </w:tc>
        <w:tc>
          <w:tcPr>
            <w:tcW w:w="709" w:type="dxa"/>
            <w:vMerge w:val="restart"/>
            <w:tcBorders>
              <w:top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2-493</w:t>
            </w:r>
          </w:p>
        </w:tc>
        <w:tc>
          <w:tcPr>
            <w:tcW w:w="709" w:type="dxa"/>
            <w:vMerge w:val="restart"/>
            <w:tcBorders>
              <w:top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25.51</w:t>
            </w:r>
          </w:p>
        </w:tc>
        <w:tc>
          <w:tcPr>
            <w:tcW w:w="567" w:type="dxa"/>
            <w:vMerge w:val="restart"/>
            <w:tcBorders>
              <w:top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.00</w:t>
            </w:r>
          </w:p>
        </w:tc>
        <w:tc>
          <w:tcPr>
            <w:tcW w:w="709" w:type="dxa"/>
            <w:vMerge w:val="restart"/>
            <w:tcBorders>
              <w:top w:val="single" w:sz="2" w:space="0" w:color="auto"/>
            </w:tcBorders>
            <w:shd w:val="clear" w:color="auto" w:fill="auto"/>
            <w:vAlign w:val="center"/>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.09</w:t>
            </w:r>
          </w:p>
        </w:tc>
        <w:tc>
          <w:tcPr>
            <w:tcW w:w="1700" w:type="dxa"/>
            <w:vMerge/>
            <w:shd w:val="clear" w:color="auto" w:fill="auto"/>
          </w:tcPr>
          <w:p w:rsidR="00302BB9" w:rsidRPr="00C4026F" w:rsidRDefault="00302BB9" w:rsidP="008575F6">
            <w:pPr>
              <w:jc w:val="both"/>
              <w:rPr>
                <w:rFonts w:ascii="Palatino Linotype" w:hAnsi="Palatino Linotype"/>
                <w:sz w:val="20"/>
                <w:szCs w:val="20"/>
              </w:rPr>
            </w:pPr>
          </w:p>
        </w:tc>
      </w:tr>
      <w:tr w:rsidR="00302BB9" w:rsidRPr="00C4026F" w:rsidTr="00A22789">
        <w:trPr>
          <w:trHeight w:val="113"/>
        </w:trPr>
        <w:tc>
          <w:tcPr>
            <w:tcW w:w="1560" w:type="dxa"/>
            <w:vMerge/>
            <w:shd w:val="clear" w:color="auto" w:fill="auto"/>
          </w:tcPr>
          <w:p w:rsidR="00302BB9" w:rsidRPr="00C4026F" w:rsidRDefault="00302BB9" w:rsidP="008575F6">
            <w:pPr>
              <w:jc w:val="both"/>
              <w:rPr>
                <w:rFonts w:ascii="Palatino Linotype" w:hAnsi="Palatino Linotype"/>
                <w:sz w:val="20"/>
                <w:szCs w:val="20"/>
              </w:rPr>
            </w:pPr>
          </w:p>
        </w:tc>
        <w:tc>
          <w:tcPr>
            <w:tcW w:w="992" w:type="dxa"/>
            <w:tcBorders>
              <w:top w:val="nil"/>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2</w:t>
            </w:r>
          </w:p>
        </w:tc>
        <w:tc>
          <w:tcPr>
            <w:tcW w:w="709" w:type="dxa"/>
            <w:tcBorders>
              <w:top w:val="nil"/>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163</w:t>
            </w:r>
          </w:p>
        </w:tc>
        <w:tc>
          <w:tcPr>
            <w:tcW w:w="709" w:type="dxa"/>
            <w:tcBorders>
              <w:top w:val="nil"/>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3.75</w:t>
            </w:r>
          </w:p>
        </w:tc>
        <w:tc>
          <w:tcPr>
            <w:tcW w:w="708" w:type="dxa"/>
            <w:tcBorders>
              <w:top w:val="nil"/>
              <w:bottom w:val="nil"/>
            </w:tcBorders>
            <w:shd w:val="clear" w:color="auto" w:fill="auto"/>
          </w:tcPr>
          <w:p w:rsidR="00302BB9" w:rsidRPr="00C4026F" w:rsidRDefault="00302BB9" w:rsidP="008575F6">
            <w:pPr>
              <w:jc w:val="center"/>
              <w:rPr>
                <w:rFonts w:ascii="Palatino Linotype" w:hAnsi="Palatino Linotype"/>
                <w:sz w:val="20"/>
                <w:szCs w:val="20"/>
              </w:rPr>
            </w:pPr>
            <w:r w:rsidRPr="00C4026F">
              <w:rPr>
                <w:rFonts w:ascii="Palatino Linotype" w:hAnsi="Palatino Linotype"/>
                <w:sz w:val="20"/>
                <w:szCs w:val="20"/>
              </w:rPr>
              <w:t>.67</w:t>
            </w:r>
          </w:p>
        </w:tc>
        <w:tc>
          <w:tcPr>
            <w:tcW w:w="709" w:type="dxa"/>
            <w:vMerge/>
            <w:shd w:val="clear" w:color="auto" w:fill="auto"/>
          </w:tcPr>
          <w:p w:rsidR="00302BB9" w:rsidRPr="00C4026F" w:rsidRDefault="00302BB9" w:rsidP="008575F6">
            <w:pPr>
              <w:jc w:val="both"/>
              <w:rPr>
                <w:rFonts w:ascii="Palatino Linotype" w:hAnsi="Palatino Linotype"/>
                <w:sz w:val="20"/>
                <w:szCs w:val="20"/>
              </w:rPr>
            </w:pPr>
          </w:p>
        </w:tc>
        <w:tc>
          <w:tcPr>
            <w:tcW w:w="709" w:type="dxa"/>
            <w:vMerge/>
            <w:shd w:val="clear" w:color="auto" w:fill="auto"/>
          </w:tcPr>
          <w:p w:rsidR="00302BB9" w:rsidRPr="00C4026F" w:rsidRDefault="00302BB9" w:rsidP="008575F6">
            <w:pPr>
              <w:jc w:val="both"/>
              <w:rPr>
                <w:rFonts w:ascii="Palatino Linotype" w:hAnsi="Palatino Linotype"/>
                <w:sz w:val="20"/>
                <w:szCs w:val="20"/>
              </w:rPr>
            </w:pPr>
          </w:p>
        </w:tc>
        <w:tc>
          <w:tcPr>
            <w:tcW w:w="567" w:type="dxa"/>
            <w:vMerge/>
            <w:shd w:val="clear" w:color="auto" w:fill="auto"/>
          </w:tcPr>
          <w:p w:rsidR="00302BB9" w:rsidRPr="00C4026F" w:rsidRDefault="00302BB9" w:rsidP="008575F6">
            <w:pPr>
              <w:jc w:val="both"/>
              <w:rPr>
                <w:rFonts w:ascii="Palatino Linotype" w:hAnsi="Palatino Linotype"/>
                <w:sz w:val="20"/>
                <w:szCs w:val="20"/>
              </w:rPr>
            </w:pPr>
          </w:p>
        </w:tc>
        <w:tc>
          <w:tcPr>
            <w:tcW w:w="709" w:type="dxa"/>
            <w:vMerge/>
            <w:shd w:val="clear" w:color="auto" w:fill="auto"/>
          </w:tcPr>
          <w:p w:rsidR="00302BB9" w:rsidRPr="00C4026F" w:rsidRDefault="00302BB9" w:rsidP="008575F6">
            <w:pPr>
              <w:jc w:val="both"/>
              <w:rPr>
                <w:rFonts w:ascii="Palatino Linotype" w:hAnsi="Palatino Linotype"/>
                <w:sz w:val="20"/>
                <w:szCs w:val="20"/>
              </w:rPr>
            </w:pPr>
          </w:p>
        </w:tc>
        <w:tc>
          <w:tcPr>
            <w:tcW w:w="1700" w:type="dxa"/>
            <w:vMerge/>
            <w:shd w:val="clear" w:color="auto" w:fill="auto"/>
          </w:tcPr>
          <w:p w:rsidR="00302BB9" w:rsidRPr="00C4026F" w:rsidRDefault="00302BB9" w:rsidP="008575F6">
            <w:pPr>
              <w:jc w:val="both"/>
              <w:rPr>
                <w:rFonts w:ascii="Palatino Linotype" w:hAnsi="Palatino Linotype"/>
                <w:sz w:val="20"/>
                <w:szCs w:val="20"/>
              </w:rPr>
            </w:pPr>
          </w:p>
        </w:tc>
      </w:tr>
      <w:tr w:rsidR="00302BB9" w:rsidRPr="00C4026F" w:rsidTr="00A22789">
        <w:trPr>
          <w:trHeight w:val="113"/>
        </w:trPr>
        <w:tc>
          <w:tcPr>
            <w:tcW w:w="1560" w:type="dxa"/>
            <w:vMerge/>
            <w:tcBorders>
              <w:bottom w:val="single" w:sz="2" w:space="0" w:color="auto"/>
            </w:tcBorders>
            <w:shd w:val="clear" w:color="auto" w:fill="auto"/>
          </w:tcPr>
          <w:p w:rsidR="00302BB9" w:rsidRPr="00C4026F" w:rsidRDefault="00302BB9" w:rsidP="008575F6">
            <w:pPr>
              <w:jc w:val="both"/>
              <w:rPr>
                <w:rFonts w:ascii="Palatino Linotype" w:hAnsi="Palatino Linotype"/>
                <w:sz w:val="20"/>
                <w:szCs w:val="20"/>
              </w:rPr>
            </w:pPr>
          </w:p>
        </w:tc>
        <w:tc>
          <w:tcPr>
            <w:tcW w:w="992" w:type="dxa"/>
            <w:tcBorders>
              <w:top w:val="nil"/>
              <w:bottom w:val="single" w:sz="2" w:space="0" w:color="auto"/>
            </w:tcBorders>
            <w:shd w:val="clear" w:color="auto" w:fill="auto"/>
          </w:tcPr>
          <w:p w:rsidR="00302BB9" w:rsidRPr="00C4026F" w:rsidRDefault="00302BB9" w:rsidP="00B67E49">
            <w:pPr>
              <w:spacing w:after="20"/>
              <w:jc w:val="center"/>
              <w:rPr>
                <w:rFonts w:ascii="Palatino Linotype" w:hAnsi="Palatino Linotype"/>
                <w:sz w:val="20"/>
                <w:szCs w:val="20"/>
              </w:rPr>
            </w:pPr>
            <w:r w:rsidRPr="00C4026F">
              <w:rPr>
                <w:rFonts w:ascii="Palatino Linotype" w:hAnsi="Palatino Linotype"/>
                <w:sz w:val="20"/>
                <w:szCs w:val="20"/>
              </w:rPr>
              <w:t>3</w:t>
            </w:r>
          </w:p>
        </w:tc>
        <w:tc>
          <w:tcPr>
            <w:tcW w:w="709" w:type="dxa"/>
            <w:tcBorders>
              <w:top w:val="nil"/>
              <w:bottom w:val="single" w:sz="2" w:space="0" w:color="auto"/>
            </w:tcBorders>
            <w:shd w:val="clear" w:color="auto" w:fill="auto"/>
          </w:tcPr>
          <w:p w:rsidR="00302BB9" w:rsidRPr="00C4026F" w:rsidRDefault="00302BB9" w:rsidP="00B67E49">
            <w:pPr>
              <w:spacing w:after="20"/>
              <w:jc w:val="center"/>
              <w:rPr>
                <w:rFonts w:ascii="Palatino Linotype" w:hAnsi="Palatino Linotype"/>
                <w:sz w:val="20"/>
                <w:szCs w:val="20"/>
              </w:rPr>
            </w:pPr>
            <w:r w:rsidRPr="00C4026F">
              <w:rPr>
                <w:rFonts w:ascii="Palatino Linotype" w:hAnsi="Palatino Linotype"/>
                <w:sz w:val="20"/>
                <w:szCs w:val="20"/>
              </w:rPr>
              <w:t>202</w:t>
            </w:r>
          </w:p>
        </w:tc>
        <w:tc>
          <w:tcPr>
            <w:tcW w:w="709" w:type="dxa"/>
            <w:tcBorders>
              <w:top w:val="nil"/>
              <w:bottom w:val="single" w:sz="2" w:space="0" w:color="auto"/>
            </w:tcBorders>
            <w:shd w:val="clear" w:color="auto" w:fill="auto"/>
          </w:tcPr>
          <w:p w:rsidR="00302BB9" w:rsidRPr="00C4026F" w:rsidRDefault="00302BB9" w:rsidP="00B67E49">
            <w:pPr>
              <w:spacing w:after="20"/>
              <w:jc w:val="center"/>
              <w:rPr>
                <w:rFonts w:ascii="Palatino Linotype" w:hAnsi="Palatino Linotype"/>
                <w:sz w:val="20"/>
                <w:szCs w:val="20"/>
              </w:rPr>
            </w:pPr>
            <w:r w:rsidRPr="00C4026F">
              <w:rPr>
                <w:rFonts w:ascii="Palatino Linotype" w:hAnsi="Palatino Linotype"/>
                <w:sz w:val="20"/>
                <w:szCs w:val="20"/>
              </w:rPr>
              <w:t>3.41</w:t>
            </w:r>
          </w:p>
        </w:tc>
        <w:tc>
          <w:tcPr>
            <w:tcW w:w="708" w:type="dxa"/>
            <w:tcBorders>
              <w:top w:val="nil"/>
              <w:bottom w:val="single" w:sz="2" w:space="0" w:color="auto"/>
            </w:tcBorders>
            <w:shd w:val="clear" w:color="auto" w:fill="auto"/>
          </w:tcPr>
          <w:p w:rsidR="00302BB9" w:rsidRPr="00C4026F" w:rsidRDefault="00302BB9" w:rsidP="00B67E49">
            <w:pPr>
              <w:spacing w:after="20"/>
              <w:jc w:val="center"/>
              <w:rPr>
                <w:rFonts w:ascii="Palatino Linotype" w:hAnsi="Palatino Linotype"/>
                <w:sz w:val="20"/>
                <w:szCs w:val="20"/>
              </w:rPr>
            </w:pPr>
            <w:r w:rsidRPr="00C4026F">
              <w:rPr>
                <w:rFonts w:ascii="Palatino Linotype" w:hAnsi="Palatino Linotype"/>
                <w:sz w:val="20"/>
                <w:szCs w:val="20"/>
              </w:rPr>
              <w:t>.66</w:t>
            </w:r>
          </w:p>
        </w:tc>
        <w:tc>
          <w:tcPr>
            <w:tcW w:w="709" w:type="dxa"/>
            <w:vMerge/>
            <w:tcBorders>
              <w:bottom w:val="single" w:sz="2" w:space="0" w:color="auto"/>
            </w:tcBorders>
            <w:shd w:val="clear" w:color="auto" w:fill="auto"/>
          </w:tcPr>
          <w:p w:rsidR="00302BB9" w:rsidRPr="00C4026F" w:rsidRDefault="00302BB9" w:rsidP="008575F6">
            <w:pPr>
              <w:jc w:val="both"/>
              <w:rPr>
                <w:rFonts w:ascii="Palatino Linotype" w:hAnsi="Palatino Linotype"/>
                <w:sz w:val="20"/>
                <w:szCs w:val="20"/>
              </w:rPr>
            </w:pPr>
          </w:p>
        </w:tc>
        <w:tc>
          <w:tcPr>
            <w:tcW w:w="709" w:type="dxa"/>
            <w:vMerge/>
            <w:tcBorders>
              <w:bottom w:val="single" w:sz="2" w:space="0" w:color="auto"/>
            </w:tcBorders>
            <w:shd w:val="clear" w:color="auto" w:fill="auto"/>
          </w:tcPr>
          <w:p w:rsidR="00302BB9" w:rsidRPr="00C4026F" w:rsidRDefault="00302BB9" w:rsidP="008575F6">
            <w:pPr>
              <w:jc w:val="both"/>
              <w:rPr>
                <w:rFonts w:ascii="Palatino Linotype" w:hAnsi="Palatino Linotype"/>
                <w:sz w:val="20"/>
                <w:szCs w:val="20"/>
              </w:rPr>
            </w:pPr>
          </w:p>
        </w:tc>
        <w:tc>
          <w:tcPr>
            <w:tcW w:w="567" w:type="dxa"/>
            <w:vMerge/>
            <w:tcBorders>
              <w:bottom w:val="single" w:sz="2" w:space="0" w:color="auto"/>
            </w:tcBorders>
            <w:shd w:val="clear" w:color="auto" w:fill="auto"/>
          </w:tcPr>
          <w:p w:rsidR="00302BB9" w:rsidRPr="00C4026F" w:rsidRDefault="00302BB9" w:rsidP="008575F6">
            <w:pPr>
              <w:jc w:val="both"/>
              <w:rPr>
                <w:rFonts w:ascii="Palatino Linotype" w:hAnsi="Palatino Linotype"/>
                <w:sz w:val="20"/>
                <w:szCs w:val="20"/>
              </w:rPr>
            </w:pPr>
          </w:p>
        </w:tc>
        <w:tc>
          <w:tcPr>
            <w:tcW w:w="709" w:type="dxa"/>
            <w:vMerge/>
            <w:tcBorders>
              <w:bottom w:val="single" w:sz="2" w:space="0" w:color="auto"/>
            </w:tcBorders>
            <w:shd w:val="clear" w:color="auto" w:fill="auto"/>
          </w:tcPr>
          <w:p w:rsidR="00302BB9" w:rsidRPr="00C4026F" w:rsidRDefault="00302BB9" w:rsidP="008575F6">
            <w:pPr>
              <w:jc w:val="both"/>
              <w:rPr>
                <w:rFonts w:ascii="Palatino Linotype" w:hAnsi="Palatino Linotype"/>
                <w:sz w:val="20"/>
                <w:szCs w:val="20"/>
              </w:rPr>
            </w:pPr>
          </w:p>
        </w:tc>
        <w:tc>
          <w:tcPr>
            <w:tcW w:w="1700" w:type="dxa"/>
            <w:vMerge/>
            <w:tcBorders>
              <w:bottom w:val="single" w:sz="2" w:space="0" w:color="auto"/>
            </w:tcBorders>
            <w:shd w:val="clear" w:color="auto" w:fill="auto"/>
          </w:tcPr>
          <w:p w:rsidR="00302BB9" w:rsidRPr="00C4026F" w:rsidRDefault="00302BB9" w:rsidP="008575F6">
            <w:pPr>
              <w:jc w:val="both"/>
              <w:rPr>
                <w:rFonts w:ascii="Palatino Linotype" w:hAnsi="Palatino Linotype"/>
                <w:sz w:val="20"/>
                <w:szCs w:val="20"/>
              </w:rPr>
            </w:pPr>
          </w:p>
        </w:tc>
      </w:tr>
    </w:tbl>
    <w:p w:rsidR="00302BB9" w:rsidRPr="00FB1B9E" w:rsidRDefault="00302BB9" w:rsidP="005137D6">
      <w:pPr>
        <w:spacing w:after="240" w:line="240" w:lineRule="auto"/>
        <w:rPr>
          <w:rFonts w:ascii="Palatino Linotype" w:hAnsi="Palatino Linotype" w:cs="Times New Roman"/>
          <w:sz w:val="18"/>
          <w:szCs w:val="20"/>
        </w:rPr>
      </w:pPr>
      <w:r w:rsidRPr="00FB1B9E">
        <w:rPr>
          <w:rFonts w:ascii="Palatino Linotype" w:hAnsi="Palatino Linotype" w:cs="Times New Roman"/>
          <w:sz w:val="18"/>
          <w:szCs w:val="20"/>
        </w:rPr>
        <w:t>Küme 1: ÖODA düşük ve PODA yüksek, Küme 2: ÖODA yüksek ve PODA düşük, Küme 3: Hem ÖODA hem de PODA orta düzeyde</w:t>
      </w:r>
    </w:p>
    <w:p w:rsidR="00302BB9" w:rsidRPr="00C4026F" w:rsidRDefault="00302BB9" w:rsidP="008575F6">
      <w:pPr>
        <w:spacing w:after="120" w:line="240" w:lineRule="auto"/>
        <w:ind w:firstLine="709"/>
        <w:jc w:val="both"/>
        <w:rPr>
          <w:rFonts w:ascii="Palatino Linotype" w:hAnsi="Palatino Linotype" w:cs="Times New Roman"/>
          <w:sz w:val="20"/>
          <w:szCs w:val="20"/>
        </w:rPr>
      </w:pPr>
      <w:r w:rsidRPr="00C4026F">
        <w:rPr>
          <w:rFonts w:ascii="Palatino Linotype" w:hAnsi="Palatino Linotype" w:cs="Times New Roman"/>
          <w:sz w:val="20"/>
          <w:szCs w:val="20"/>
        </w:rPr>
        <w:t>Tablo 4’teki bulgular incelendiğinde, akademik tükenmişliğin bütün boyutlarında kümeleme analizi sonucunda oluşan gruplara göre anlamlı fark bulunduğu görülmektedir. Duygusal tükenme ve duyarsızlaşma boyutlarında en yüksek ortalama 1. kümedeki öğrencilere ait olup bunu sırasıyla 3. ve 2. küme izlemektedir. 1</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2. ve 3. kümede yer alan öğrencilerin ÖODA ve PODA alt ölçeklerine ilişkin ortalamaları dikkate alındığında; sınıf değerlendirme atmosferine yönelik performans odaklı algı arttıkça duygusal tükenme ve duyarsızlaşmanın arttığı, öğrenme odaklı algı arttığında ise duygusal tükenme ile duyarsızlaşmanın azaldığı söylenebilir. Hesaplanan </w:t>
      </w:r>
      <w:proofErr w:type="spellStart"/>
      <w:r w:rsidRPr="00C4026F">
        <w:rPr>
          <w:rFonts w:ascii="Palatino Linotype" w:hAnsi="Palatino Linotype" w:cs="Times New Roman"/>
          <w:sz w:val="20"/>
          <w:szCs w:val="20"/>
        </w:rPr>
        <w:t>Eta</w:t>
      </w:r>
      <w:proofErr w:type="spellEnd"/>
      <w:r w:rsidRPr="00C4026F">
        <w:rPr>
          <w:rFonts w:ascii="Palatino Linotype" w:hAnsi="Palatino Linotype" w:cs="Times New Roman"/>
          <w:sz w:val="20"/>
          <w:szCs w:val="20"/>
        </w:rPr>
        <w:t xml:space="preserve"> Kare değerleri incelendiğinde, öğrencilerin sınıf değerlendirme atmosferine yönelik algılarının akademik duygusal tükenme düzeyleri üzerinde %17’lik, duyarsızlaşma düzeyleri üzerinde ise %24’lük bir etkiye sahip olduğu belirlenmiştir. </w:t>
      </w:r>
      <w:proofErr w:type="spellStart"/>
      <w:r w:rsidRPr="00C4026F">
        <w:rPr>
          <w:rFonts w:ascii="Palatino Linotype" w:hAnsi="Palatino Linotype" w:cs="Times New Roman"/>
          <w:sz w:val="20"/>
          <w:szCs w:val="20"/>
        </w:rPr>
        <w:t>Eta</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Kare’nin</w:t>
      </w:r>
      <w:proofErr w:type="spellEnd"/>
      <w:r w:rsidRPr="00C4026F">
        <w:rPr>
          <w:rFonts w:ascii="Palatino Linotype" w:hAnsi="Palatino Linotype" w:cs="Times New Roman"/>
          <w:sz w:val="20"/>
          <w:szCs w:val="20"/>
        </w:rPr>
        <w:t xml:space="preserve"> yorumlanmasında dikkate alınan ölçütlere göre her iki etkinin de büyük olduğu söylenebilir. </w:t>
      </w:r>
    </w:p>
    <w:p w:rsidR="00302BB9" w:rsidRPr="00C4026F" w:rsidRDefault="00302BB9" w:rsidP="008575F6">
      <w:pPr>
        <w:spacing w:after="240" w:line="240" w:lineRule="auto"/>
        <w:ind w:firstLine="709"/>
        <w:jc w:val="both"/>
        <w:rPr>
          <w:rFonts w:ascii="Palatino Linotype" w:hAnsi="Palatino Linotype" w:cs="Times New Roman"/>
          <w:sz w:val="20"/>
          <w:szCs w:val="20"/>
        </w:rPr>
      </w:pPr>
      <w:r w:rsidRPr="00C4026F">
        <w:rPr>
          <w:rFonts w:ascii="Palatino Linotype" w:hAnsi="Palatino Linotype" w:cs="Times New Roman"/>
          <w:sz w:val="20"/>
          <w:szCs w:val="20"/>
        </w:rPr>
        <w:t>Yetkinlik boyutuna ilişkin bulgulara bakıldığında, en yüksek ortalamanın 2. kümedeki öğrencilere ait olduğu bunu sırasıyla 3. ve 1. kümedeki öğrencilerin takip ettiği görülmektedir. 1</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2. ve 3. kümede yer alan öğrencilerin ÖODA ve PODA ortalamaları göz önünde bulundurulduğunda; sınıf değerlendirme atmosferine yönelik öğrenme odaklı algı arttıkça yetkinliğin arttığı, öte yandan performans odaklı algı arttıkça yetkinliğin azaldığı saptanmıştır. Yetkinlik boyutu için hesaplanan </w:t>
      </w:r>
      <w:proofErr w:type="spellStart"/>
      <w:r w:rsidRPr="00C4026F">
        <w:rPr>
          <w:rFonts w:ascii="Palatino Linotype" w:hAnsi="Palatino Linotype" w:cs="Times New Roman"/>
          <w:sz w:val="20"/>
          <w:szCs w:val="20"/>
        </w:rPr>
        <w:t>Eta</w:t>
      </w:r>
      <w:proofErr w:type="spellEnd"/>
      <w:r w:rsidRPr="00C4026F">
        <w:rPr>
          <w:rFonts w:ascii="Palatino Linotype" w:hAnsi="Palatino Linotype" w:cs="Times New Roman"/>
          <w:sz w:val="20"/>
          <w:szCs w:val="20"/>
        </w:rPr>
        <w:t xml:space="preserve"> Kare değerine göre öğrencilerin sınıf değerlendirme atmosferine yönelik algılarının akademik yetkinlik düzeyleri üzerinde %9’luk orta büyüklükte bir etkiye sahip olduğu söylenebilir. Kümeleme analizi sonucunda oluşan gruplara göre, öğrencilerin MTE-ÖF’ün alt boyutlarından aldıkları puanların ortalaması Gra</w:t>
      </w:r>
      <w:r w:rsidR="000B259F">
        <w:rPr>
          <w:rFonts w:ascii="Palatino Linotype" w:hAnsi="Palatino Linotype" w:cs="Times New Roman"/>
          <w:sz w:val="20"/>
          <w:szCs w:val="20"/>
        </w:rPr>
        <w:t>fik 2’de ayrıca gösterilmiştir.</w:t>
      </w:r>
    </w:p>
    <w:p w:rsidR="00302BB9" w:rsidRPr="00C4026F" w:rsidRDefault="00302BB9" w:rsidP="008575F6">
      <w:pPr>
        <w:spacing w:before="120" w:after="0" w:line="240" w:lineRule="auto"/>
        <w:jc w:val="center"/>
        <w:rPr>
          <w:rFonts w:ascii="Palatino Linotype" w:hAnsi="Palatino Linotype" w:cs="Times New Roman"/>
          <w:i/>
          <w:sz w:val="20"/>
          <w:szCs w:val="20"/>
        </w:rPr>
      </w:pPr>
      <w:r w:rsidRPr="00C4026F">
        <w:rPr>
          <w:rFonts w:ascii="Palatino Linotype" w:hAnsi="Palatino Linotype"/>
          <w:noProof/>
          <w:lang w:eastAsia="tr-TR"/>
        </w:rPr>
        <w:lastRenderedPageBreak/>
        <w:drawing>
          <wp:inline distT="0" distB="0" distL="0" distR="0" wp14:anchorId="0C48B035" wp14:editId="5B9C9F71">
            <wp:extent cx="3524250" cy="2562225"/>
            <wp:effectExtent l="0" t="0" r="19050" b="9525"/>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97D34" w:rsidRDefault="00302BB9" w:rsidP="00975174">
      <w:pPr>
        <w:spacing w:before="120" w:after="240" w:line="240" w:lineRule="auto"/>
        <w:jc w:val="center"/>
        <w:rPr>
          <w:rFonts w:ascii="Palatino Linotype" w:hAnsi="Palatino Linotype"/>
          <w:b/>
          <w:szCs w:val="20"/>
        </w:rPr>
      </w:pPr>
      <w:r w:rsidRPr="00C4026F">
        <w:rPr>
          <w:rFonts w:ascii="Palatino Linotype" w:hAnsi="Palatino Linotype" w:cs="Times New Roman"/>
          <w:b/>
          <w:sz w:val="20"/>
          <w:szCs w:val="20"/>
        </w:rPr>
        <w:t>Grafik 2:</w:t>
      </w:r>
      <w:r w:rsidRPr="00C4026F">
        <w:rPr>
          <w:rFonts w:ascii="Palatino Linotype" w:hAnsi="Palatino Linotype" w:cs="Times New Roman"/>
          <w:sz w:val="20"/>
          <w:szCs w:val="20"/>
        </w:rPr>
        <w:t xml:space="preserve"> Kümeleme Analizi Sonucunda Oluşan Gruplara Göre, Öğrencilerin MTE-ÖF’ün Alt Boyutlarından Aldıkları Puanların Ortalaması</w:t>
      </w:r>
    </w:p>
    <w:p w:rsidR="00475DC1" w:rsidRPr="00C4026F" w:rsidRDefault="00302BB9" w:rsidP="008575F6">
      <w:pPr>
        <w:spacing w:before="120" w:after="120" w:line="240" w:lineRule="auto"/>
        <w:jc w:val="center"/>
        <w:rPr>
          <w:rFonts w:ascii="Palatino Linotype" w:hAnsi="Palatino Linotype"/>
          <w:b/>
          <w:szCs w:val="20"/>
        </w:rPr>
      </w:pPr>
      <w:r w:rsidRPr="00C4026F">
        <w:rPr>
          <w:rFonts w:ascii="Palatino Linotype" w:hAnsi="Palatino Linotype"/>
          <w:b/>
          <w:szCs w:val="20"/>
        </w:rPr>
        <w:t>Tartışma</w:t>
      </w:r>
    </w:p>
    <w:p w:rsidR="00302BB9" w:rsidRPr="00C4026F" w:rsidRDefault="00302BB9" w:rsidP="008575F6">
      <w:pPr>
        <w:spacing w:after="120" w:line="240" w:lineRule="auto"/>
        <w:ind w:firstLine="709"/>
        <w:jc w:val="both"/>
        <w:rPr>
          <w:rFonts w:ascii="Palatino Linotype" w:hAnsi="Palatino Linotype" w:cs="Times New Roman"/>
          <w:sz w:val="20"/>
          <w:szCs w:val="20"/>
        </w:rPr>
      </w:pPr>
      <w:r w:rsidRPr="00C4026F">
        <w:rPr>
          <w:rFonts w:ascii="Palatino Linotype" w:hAnsi="Palatino Linotype" w:cs="Times New Roman"/>
          <w:sz w:val="20"/>
          <w:szCs w:val="20"/>
        </w:rPr>
        <w:t>Bu araştırmada öğrencilerin sınıf değerlendirme atmosferine yönelik algılarının akademik tükenmişlik düzeyleri üzerindeki etkisinin incelenmesi amaçlanmıştır. Araştırmadan elde edilen bulgular; öğrencilerin sınıf değerlendirme atmosferine yönelik öğrenme odaklı algıları arttıkça duygusal tükenme ve duyarsızlaşma düzeylerinin azaldığını; yetkinlik düzeylerinin ise arttığını göstermiştir. Diğer tarafından öğrencilerin sınıf değerlendirme atmosferine yönelik performans odaklı algıları arttıkça duygusal tükenme ve duyarsızlaşma düzeylerinin arttığı; yetkinlik düzeyler</w:t>
      </w:r>
      <w:r w:rsidR="00740BEA" w:rsidRPr="00C4026F">
        <w:rPr>
          <w:rFonts w:ascii="Palatino Linotype" w:hAnsi="Palatino Linotype" w:cs="Times New Roman"/>
          <w:sz w:val="20"/>
          <w:szCs w:val="20"/>
        </w:rPr>
        <w:t xml:space="preserve">inin ise azaldığı saptanmıştır. </w:t>
      </w:r>
      <w:r w:rsidRPr="00C4026F">
        <w:rPr>
          <w:rFonts w:ascii="Palatino Linotype" w:hAnsi="Palatino Linotype" w:cs="Times New Roman"/>
          <w:sz w:val="20"/>
          <w:szCs w:val="20"/>
        </w:rPr>
        <w:t xml:space="preserve">MTE-ÖF’ün duygusal tükenme ve duyarsızlaşma boyutları akademik tükenmişliği destekleyen ifadelerden oluşurken; yetkinlik boyutu akademik tükenmişliği desteklemeyen ifadelerden oluşmaktadır. Buna göre; öğrencilerin sınıf değerlendirme atmosferine yönelik öğrenme odaklı algıları arttıkça akademik tükenmişliklerinin azaldığı; performans odaklı algıları arttıkça akademik tükenmişliklerinin arttığı söylenebilir. Dolayısıyla araştırma sonuçları; öğrencilerin akademik tükenmişlik düzeylerinin sınıf değerlendirme atmosferine yönelik algılarına göre farklılaştığı şeklinde kurulan hipotezi doğrulamaktadır. </w:t>
      </w:r>
    </w:p>
    <w:p w:rsidR="00302BB9" w:rsidRPr="00C4026F" w:rsidRDefault="00302BB9" w:rsidP="008575F6">
      <w:pPr>
        <w:spacing w:after="0" w:line="240" w:lineRule="auto"/>
        <w:ind w:firstLine="708"/>
        <w:jc w:val="both"/>
        <w:rPr>
          <w:rFonts w:ascii="Palatino Linotype" w:hAnsi="Palatino Linotype" w:cs="Times New Roman"/>
          <w:sz w:val="20"/>
          <w:szCs w:val="20"/>
        </w:rPr>
      </w:pPr>
      <w:r w:rsidRPr="00C4026F">
        <w:rPr>
          <w:rFonts w:ascii="Palatino Linotype" w:hAnsi="Palatino Linotype" w:cs="Times New Roman"/>
          <w:sz w:val="20"/>
          <w:szCs w:val="20"/>
        </w:rPr>
        <w:t>Araştırmadan elde edilen bulgular öğrencilerin okul ve sınıf ortamına yönelik algılarının bilişsel ve duyusal süreçlerini etkilediği yönündeki araştırma sonuçlarıyla (</w:t>
      </w:r>
      <w:proofErr w:type="spellStart"/>
      <w:r w:rsidRPr="00C4026F">
        <w:rPr>
          <w:rFonts w:ascii="Palatino Linotype" w:hAnsi="Palatino Linotype" w:cs="Times New Roman"/>
          <w:sz w:val="20"/>
          <w:szCs w:val="20"/>
        </w:rPr>
        <w:t>Kuperminc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Leadbeater</w:t>
      </w:r>
      <w:proofErr w:type="spellEnd"/>
      <w:r w:rsidRPr="00C4026F">
        <w:rPr>
          <w:rFonts w:ascii="Palatino Linotype" w:hAnsi="Palatino Linotype" w:cs="Times New Roman"/>
          <w:sz w:val="20"/>
          <w:szCs w:val="20"/>
        </w:rPr>
        <w:t xml:space="preserve"> ve </w:t>
      </w:r>
      <w:proofErr w:type="spellStart"/>
      <w:r w:rsidRPr="00C4026F">
        <w:rPr>
          <w:rFonts w:ascii="Palatino Linotype" w:hAnsi="Palatino Linotype" w:cs="Times New Roman"/>
          <w:sz w:val="20"/>
          <w:szCs w:val="20"/>
        </w:rPr>
        <w:t>Blatt</w:t>
      </w:r>
      <w:proofErr w:type="spellEnd"/>
      <w:r w:rsidRPr="00C4026F">
        <w:rPr>
          <w:rFonts w:ascii="Palatino Linotype" w:hAnsi="Palatino Linotype" w:cs="Times New Roman"/>
          <w:sz w:val="20"/>
          <w:szCs w:val="20"/>
        </w:rPr>
        <w:t xml:space="preserve">, 2001) desteklenmektedir. Literatürdeki çok sayıda çalışmada sınıf ortamına yönelik algı ile akademik tükenmişliğin birbiriyle ilişkili yapılar olduğu tespit edilmiştir. Örneğin; Salmela-Aro vd. (2008) tarafından yapılan boylamsal araştırmada okul ortamına yönelik olumsuz algının akademik tükenmişliği pozitif yönde yordadığı belirlenmiştir. </w:t>
      </w:r>
      <w:proofErr w:type="spellStart"/>
      <w:r w:rsidRPr="00C4026F">
        <w:rPr>
          <w:rFonts w:ascii="Palatino Linotype" w:hAnsi="Palatino Linotype" w:cs="Times New Roman"/>
          <w:sz w:val="20"/>
          <w:szCs w:val="20"/>
        </w:rPr>
        <w:t>Valickienea</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Zukauskienea</w:t>
      </w:r>
      <w:proofErr w:type="spellEnd"/>
      <w:r w:rsidRPr="00C4026F">
        <w:rPr>
          <w:rFonts w:ascii="Palatino Linotype" w:hAnsi="Palatino Linotype" w:cs="Times New Roman"/>
          <w:sz w:val="20"/>
          <w:szCs w:val="20"/>
        </w:rPr>
        <w:t xml:space="preserve"> ve </w:t>
      </w:r>
      <w:proofErr w:type="spellStart"/>
      <w:r w:rsidRPr="00C4026F">
        <w:rPr>
          <w:rFonts w:ascii="Palatino Linotype" w:hAnsi="Palatino Linotype" w:cs="Times New Roman"/>
          <w:sz w:val="20"/>
          <w:szCs w:val="20"/>
        </w:rPr>
        <w:t>Raiziene</w:t>
      </w:r>
      <w:proofErr w:type="spellEnd"/>
      <w:r w:rsidRPr="00C4026F">
        <w:rPr>
          <w:rFonts w:ascii="Palatino Linotype" w:hAnsi="Palatino Linotype" w:cs="Times New Roman"/>
          <w:sz w:val="20"/>
          <w:szCs w:val="20"/>
        </w:rPr>
        <w:t xml:space="preserve"> (2011) tarafından yapılan çalışmada okul ve sınıf iklimine yönelik algının akademik tükenmişlik üzerinde etkili olduğu sonucuna ulaşılmıştır. Araştırma sonuçlarıyla paralellik gösteren bir diğer çalışma </w:t>
      </w:r>
      <w:proofErr w:type="spellStart"/>
      <w:r w:rsidRPr="00C4026F">
        <w:rPr>
          <w:rFonts w:ascii="Palatino Linotype" w:hAnsi="Palatino Linotype" w:cs="Times New Roman"/>
          <w:sz w:val="20"/>
          <w:szCs w:val="20"/>
        </w:rPr>
        <w:t>Adie</w:t>
      </w:r>
      <w:proofErr w:type="spellEnd"/>
      <w:r w:rsidRPr="00C4026F">
        <w:rPr>
          <w:rFonts w:ascii="Palatino Linotype" w:hAnsi="Palatino Linotype" w:cs="Times New Roman"/>
          <w:sz w:val="20"/>
          <w:szCs w:val="20"/>
        </w:rPr>
        <w:t xml:space="preserve"> ve </w:t>
      </w:r>
      <w:proofErr w:type="spellStart"/>
      <w:r w:rsidRPr="00C4026F">
        <w:rPr>
          <w:rFonts w:ascii="Palatino Linotype" w:hAnsi="Palatino Linotype" w:cs="Times New Roman"/>
          <w:sz w:val="20"/>
          <w:szCs w:val="20"/>
        </w:rPr>
        <w:t>Wakefield</w:t>
      </w:r>
      <w:proofErr w:type="spellEnd"/>
      <w:r w:rsidRPr="00C4026F">
        <w:rPr>
          <w:rFonts w:ascii="Palatino Linotype" w:hAnsi="Palatino Linotype" w:cs="Times New Roman"/>
          <w:sz w:val="20"/>
          <w:szCs w:val="20"/>
        </w:rPr>
        <w:t xml:space="preserve"> (2011) tarafından yapılmıştır. </w:t>
      </w:r>
      <w:proofErr w:type="spellStart"/>
      <w:r w:rsidRPr="00C4026F">
        <w:rPr>
          <w:rFonts w:ascii="Palatino Linotype" w:hAnsi="Palatino Linotype" w:cs="Times New Roman"/>
          <w:sz w:val="20"/>
          <w:szCs w:val="20"/>
        </w:rPr>
        <w:t>Adie</w:t>
      </w:r>
      <w:proofErr w:type="spellEnd"/>
      <w:r w:rsidRPr="00C4026F">
        <w:rPr>
          <w:rFonts w:ascii="Palatino Linotype" w:hAnsi="Palatino Linotype" w:cs="Times New Roman"/>
          <w:sz w:val="20"/>
          <w:szCs w:val="20"/>
        </w:rPr>
        <w:t xml:space="preserve"> ve </w:t>
      </w:r>
      <w:proofErr w:type="spellStart"/>
      <w:r w:rsidRPr="00C4026F">
        <w:rPr>
          <w:rFonts w:ascii="Palatino Linotype" w:hAnsi="Palatino Linotype" w:cs="Times New Roman"/>
          <w:sz w:val="20"/>
          <w:szCs w:val="20"/>
        </w:rPr>
        <w:t>Wakefield</w:t>
      </w:r>
      <w:proofErr w:type="spellEnd"/>
      <w:r w:rsidRPr="00C4026F">
        <w:rPr>
          <w:rFonts w:ascii="Palatino Linotype" w:hAnsi="Palatino Linotype" w:cs="Times New Roman"/>
          <w:sz w:val="20"/>
          <w:szCs w:val="20"/>
        </w:rPr>
        <w:t xml:space="preserve"> (2011) korelasyonel bir araştırma olarak yürüttükleri çalışmada, MTE-ÖF kullanılarak öğrencilerin akademik tükenmişliklerini ölçmüş ve Öğrenme İklimi Ölçeği’nden yararlanılarak öğrencilerin sınıf ortamına yönelik algılarını belirlemeye çalışmıştır. Araştırma sonucunda öğrencilerin sınıf ortamına yönelik algıları ile akademik tükenmişlik düzeyleri arasında anlamlı ilişkiler bulunduğunu saptamışlardır. Sıralanan araştırmalar akademik tükenmişlik ve sınıf değerlendirme atmosferi arasında tespit edilen anlamlı ilişki ile örtüşmektedir. </w:t>
      </w:r>
    </w:p>
    <w:p w:rsidR="005137D6" w:rsidRDefault="005137D6">
      <w:pPr>
        <w:rPr>
          <w:rFonts w:ascii="Palatino Linotype" w:hAnsi="Palatino Linotype"/>
          <w:b/>
          <w:szCs w:val="20"/>
        </w:rPr>
      </w:pPr>
      <w:r>
        <w:rPr>
          <w:rFonts w:ascii="Palatino Linotype" w:hAnsi="Palatino Linotype"/>
          <w:b/>
          <w:szCs w:val="20"/>
        </w:rPr>
        <w:br w:type="page"/>
      </w:r>
    </w:p>
    <w:p w:rsidR="00FF02D4" w:rsidRPr="00C4026F" w:rsidRDefault="00FF02D4" w:rsidP="008575F6">
      <w:pPr>
        <w:spacing w:before="120" w:after="120" w:line="240" w:lineRule="auto"/>
        <w:jc w:val="center"/>
        <w:rPr>
          <w:rFonts w:ascii="Palatino Linotype" w:hAnsi="Palatino Linotype"/>
          <w:b/>
          <w:szCs w:val="20"/>
        </w:rPr>
      </w:pPr>
      <w:r w:rsidRPr="00C4026F">
        <w:rPr>
          <w:rFonts w:ascii="Palatino Linotype" w:hAnsi="Palatino Linotype"/>
          <w:b/>
          <w:szCs w:val="20"/>
        </w:rPr>
        <w:lastRenderedPageBreak/>
        <w:t>Sonuç</w:t>
      </w:r>
    </w:p>
    <w:p w:rsidR="00097D34" w:rsidRDefault="00FF02D4" w:rsidP="005137D6">
      <w:pPr>
        <w:spacing w:after="120" w:line="240" w:lineRule="auto"/>
        <w:ind w:firstLine="709"/>
        <w:jc w:val="both"/>
        <w:rPr>
          <w:rFonts w:ascii="Palatino Linotype" w:hAnsi="Palatino Linotype"/>
          <w:b/>
          <w:szCs w:val="20"/>
        </w:rPr>
      </w:pPr>
      <w:r w:rsidRPr="00C4026F">
        <w:rPr>
          <w:rFonts w:ascii="Palatino Linotype" w:hAnsi="Palatino Linotype" w:cs="Times New Roman"/>
          <w:sz w:val="20"/>
          <w:szCs w:val="20"/>
        </w:rPr>
        <w:t>Araştırma</w:t>
      </w:r>
      <w:r w:rsidR="00985F9A" w:rsidRPr="00C4026F">
        <w:rPr>
          <w:rFonts w:ascii="Palatino Linotype" w:hAnsi="Palatino Linotype" w:cs="Times New Roman"/>
          <w:sz w:val="20"/>
          <w:szCs w:val="20"/>
        </w:rPr>
        <w:t xml:space="preserve">da, </w:t>
      </w:r>
      <w:r w:rsidRPr="00C4026F">
        <w:rPr>
          <w:rFonts w:ascii="Palatino Linotype" w:hAnsi="Palatino Linotype" w:cs="Times New Roman"/>
          <w:sz w:val="20"/>
          <w:szCs w:val="20"/>
        </w:rPr>
        <w:t xml:space="preserve">öğrencilerin sınıf değerlendirme atmosferine yönelik algılarının akademik tükenmişlik düzeylerini etkileyen bir değişken olduğu belirlenmiştir. Araştırmadan elde edilen bu sonucun hem akademik tükenmişlik hem de sınıf değerlendirme atmosferi ile </w:t>
      </w:r>
      <w:proofErr w:type="gramStart"/>
      <w:r w:rsidRPr="00C4026F">
        <w:rPr>
          <w:rFonts w:ascii="Palatino Linotype" w:hAnsi="Palatino Linotype" w:cs="Times New Roman"/>
          <w:sz w:val="20"/>
          <w:szCs w:val="20"/>
        </w:rPr>
        <w:t>literatüre</w:t>
      </w:r>
      <w:proofErr w:type="gramEnd"/>
      <w:r w:rsidRPr="00C4026F">
        <w:rPr>
          <w:rFonts w:ascii="Palatino Linotype" w:hAnsi="Palatino Linotype" w:cs="Times New Roman"/>
          <w:sz w:val="20"/>
          <w:szCs w:val="20"/>
        </w:rPr>
        <w:t xml:space="preserve"> önemli katkılar sağlayacağı öngörülmektedir. Akademik tükenmişlik ile ilgili araştırmalarda, öğrenci tükenmişliğinin bireysel ve bağlamsal birçok faktörden etkilendiği saptanmıştır. Ancak, </w:t>
      </w:r>
      <w:proofErr w:type="gramStart"/>
      <w:r w:rsidRPr="00C4026F">
        <w:rPr>
          <w:rFonts w:ascii="Palatino Linotype" w:hAnsi="Palatino Linotype" w:cs="Times New Roman"/>
          <w:sz w:val="20"/>
          <w:szCs w:val="20"/>
        </w:rPr>
        <w:t>literatürde</w:t>
      </w:r>
      <w:proofErr w:type="gramEnd"/>
      <w:r w:rsidRPr="00C4026F">
        <w:rPr>
          <w:rFonts w:ascii="Palatino Linotype" w:hAnsi="Palatino Linotype" w:cs="Times New Roman"/>
          <w:sz w:val="20"/>
          <w:szCs w:val="20"/>
        </w:rPr>
        <w:t xml:space="preserve"> sınıf değerlendirme atmosferi ve akademik tükenmişlik arasında nasıl bir ilişki bulunduğuna yanıt olabilecek bir çalışmaya rastlanmamıştır. Araştırma sonuçları, </w:t>
      </w:r>
      <w:proofErr w:type="gramStart"/>
      <w:r w:rsidRPr="00C4026F">
        <w:rPr>
          <w:rFonts w:ascii="Palatino Linotype" w:hAnsi="Palatino Linotype" w:cs="Times New Roman"/>
          <w:sz w:val="20"/>
          <w:szCs w:val="20"/>
        </w:rPr>
        <w:t>literatürdeki</w:t>
      </w:r>
      <w:proofErr w:type="gramEnd"/>
      <w:r w:rsidRPr="00C4026F">
        <w:rPr>
          <w:rFonts w:ascii="Palatino Linotype" w:hAnsi="Palatino Linotype" w:cs="Times New Roman"/>
          <w:sz w:val="20"/>
          <w:szCs w:val="20"/>
        </w:rPr>
        <w:t xml:space="preserve"> çalışmaların yanıtlamada yetersiz kaldığı bu soruya cevap olabilecektir. Dolayısıyla; araştırmanın akademik tükenmişlik ve sınıf değerlendirme atmosferi ile ilgili </w:t>
      </w:r>
      <w:proofErr w:type="gramStart"/>
      <w:r w:rsidRPr="00C4026F">
        <w:rPr>
          <w:rFonts w:ascii="Palatino Linotype" w:hAnsi="Palatino Linotype" w:cs="Times New Roman"/>
          <w:sz w:val="20"/>
          <w:szCs w:val="20"/>
        </w:rPr>
        <w:t>literatüre</w:t>
      </w:r>
      <w:proofErr w:type="gramEnd"/>
      <w:r w:rsidRPr="00C4026F">
        <w:rPr>
          <w:rFonts w:ascii="Palatino Linotype" w:hAnsi="Palatino Linotype" w:cs="Times New Roman"/>
          <w:sz w:val="20"/>
          <w:szCs w:val="20"/>
        </w:rPr>
        <w:t xml:space="preserve"> önemli katkılar sağlayacağı söylenebilir. Araştırmanın ilgili </w:t>
      </w:r>
      <w:proofErr w:type="gramStart"/>
      <w:r w:rsidRPr="00C4026F">
        <w:rPr>
          <w:rFonts w:ascii="Palatino Linotype" w:hAnsi="Palatino Linotype" w:cs="Times New Roman"/>
          <w:sz w:val="20"/>
          <w:szCs w:val="20"/>
        </w:rPr>
        <w:t>literatürdeki</w:t>
      </w:r>
      <w:proofErr w:type="gramEnd"/>
      <w:r w:rsidRPr="00C4026F">
        <w:rPr>
          <w:rFonts w:ascii="Palatino Linotype" w:hAnsi="Palatino Linotype" w:cs="Times New Roman"/>
          <w:sz w:val="20"/>
          <w:szCs w:val="20"/>
        </w:rPr>
        <w:t xml:space="preserve"> boşluğun giderilmesine yönelik doğurgularının yanı sıra, uygulamaya yönelik katkıları da olacaktır. Araştırma sonuçlarının, akademik tükenmişliğin önlenmesine yönelik uygulamalar için bir kılavuz niteliği taşıması beklenmektedir. Akademik tükenmişliğin önlenmesine yönelik olarak, araştırmada ulaşılan sonuçlardan nasıl yararlanılabileceği uygulamaya yönelik öneriler başlığı altında dah</w:t>
      </w:r>
      <w:r w:rsidR="005137D6">
        <w:rPr>
          <w:rFonts w:ascii="Palatino Linotype" w:hAnsi="Palatino Linotype" w:cs="Times New Roman"/>
          <w:sz w:val="20"/>
          <w:szCs w:val="20"/>
        </w:rPr>
        <w:t>a detaylı olarak açıklanmıştır.</w:t>
      </w:r>
    </w:p>
    <w:p w:rsidR="00FF02D4" w:rsidRPr="00C4026F" w:rsidRDefault="00FF02D4" w:rsidP="008575F6">
      <w:pPr>
        <w:spacing w:before="120" w:after="120" w:line="240" w:lineRule="auto"/>
        <w:jc w:val="center"/>
        <w:rPr>
          <w:rFonts w:ascii="Palatino Linotype" w:hAnsi="Palatino Linotype"/>
          <w:b/>
          <w:szCs w:val="20"/>
        </w:rPr>
      </w:pPr>
      <w:r w:rsidRPr="00C4026F">
        <w:rPr>
          <w:rFonts w:ascii="Palatino Linotype" w:hAnsi="Palatino Linotype"/>
          <w:b/>
          <w:szCs w:val="20"/>
        </w:rPr>
        <w:t>Uygulamaya Yönelik Öneriler</w:t>
      </w:r>
    </w:p>
    <w:p w:rsidR="00FF02D4" w:rsidRPr="00C4026F" w:rsidRDefault="00FF02D4" w:rsidP="008575F6">
      <w:pPr>
        <w:spacing w:after="120" w:line="240" w:lineRule="auto"/>
        <w:ind w:firstLine="709"/>
        <w:jc w:val="both"/>
        <w:rPr>
          <w:rFonts w:ascii="Palatino Linotype" w:hAnsi="Palatino Linotype" w:cs="Times New Roman"/>
          <w:sz w:val="20"/>
          <w:szCs w:val="20"/>
        </w:rPr>
      </w:pPr>
      <w:r w:rsidRPr="00C4026F">
        <w:rPr>
          <w:rFonts w:ascii="Palatino Linotype" w:hAnsi="Palatino Linotype" w:cs="Times New Roman"/>
          <w:sz w:val="20"/>
          <w:szCs w:val="20"/>
        </w:rPr>
        <w:t xml:space="preserve">Araştırmada öğrencilerin akademik tükenmişlik düzeyleri ve sınıf değerlendirme atmosferi algıları arasında saptanan anlamlı ilişki, uygulamaya yönelik bir takım önerileri beraberinde getirmektedir. Sınıf değerlendirme atmosferine yönelik performans odaklı algı arttıkça, duygusal tükenme ve duyarsızlaşmanın artması, yetkinliğin ise azalması; performans odaklı değerlendirme atmosferinin akademik tükenmişliği tetiklediğini göstermektedir. Dolayısıyla akademik tükenmişliği önlemek için sınıfta performans odaklı değerlendirme atmosferinin oluşmasına neden olan uygulamalardan kaçınılmalıdır. Bu kapsamda, öğrenciler arasında sosyal karşılaştırma yapılmamalı, değerlendirme ile ilgili görevlerin öğrenciler için çok zor olmamasına özen gösterilmeli ve öğrencinin ortaya koyduğu çaba yerine performansın vurgulandığı bir yaklaşımdan uzak durulmalıdır. </w:t>
      </w:r>
    </w:p>
    <w:p w:rsidR="00FF02D4" w:rsidRPr="00C4026F" w:rsidRDefault="00FF02D4" w:rsidP="008575F6">
      <w:pPr>
        <w:spacing w:after="0" w:line="240" w:lineRule="auto"/>
        <w:ind w:firstLine="708"/>
        <w:jc w:val="both"/>
        <w:rPr>
          <w:rFonts w:ascii="Palatino Linotype" w:hAnsi="Palatino Linotype" w:cs="Times New Roman"/>
          <w:sz w:val="20"/>
          <w:szCs w:val="20"/>
        </w:rPr>
      </w:pPr>
      <w:r w:rsidRPr="00C4026F">
        <w:rPr>
          <w:rFonts w:ascii="Palatino Linotype" w:hAnsi="Palatino Linotype" w:cs="Times New Roman"/>
          <w:sz w:val="20"/>
          <w:szCs w:val="20"/>
        </w:rPr>
        <w:t xml:space="preserve">Sınıf değerlendirme atmosferine yönelik öğrenme odaklı algı arttıkça, yetkinliğin artması ve duygusal tükenme ile duyarsızlaşmanın azalması; öğrenme odaklı değerlendirme atmosferinin akademik tükenmişliği azalttığı şeklinde yorumlanabilir. Bu bağlamda, akademik tükenmişliği önlemek için sınıfta öğrenme odaklı değerlendirme atmosferinin oluşmasına katkıda bulunacak değerlendirme uygulamalarına yer verilmelidir. Performans yerine öğrenmeye ilişkin çabanın vurgulanması, öğrencinin arkadaşlarına göre nasıl bir performans sergilediğinden çok bireysel gelişimlerinin ön planda tutulması, değerlendirme sonuçları hakkında öğrencilere anlamlı dönütler verilmesi, orta güçlükte değerlendirme görevlerinin oluşturulması, değerlendirmede kullanılacak ölçütlerden öğrencilerin haberdar edilmesi ve hatanın öğrenme sürecinin bir parçası olarak görülmesi öğrenme odaklı bir değerlendirme atmosferi oluşturarak akademik tükenmişliği önleyebilir. </w:t>
      </w:r>
    </w:p>
    <w:p w:rsidR="00C31091" w:rsidRDefault="00C31091">
      <w:pPr>
        <w:rPr>
          <w:rFonts w:ascii="Palatino Linotype" w:hAnsi="Palatino Linotype"/>
          <w:b/>
          <w:szCs w:val="20"/>
        </w:rPr>
      </w:pPr>
      <w:r>
        <w:rPr>
          <w:rFonts w:ascii="Palatino Linotype" w:hAnsi="Palatino Linotype"/>
          <w:b/>
          <w:szCs w:val="20"/>
        </w:rPr>
        <w:br w:type="page"/>
      </w:r>
    </w:p>
    <w:p w:rsidR="00FF02D4" w:rsidRPr="00C4026F" w:rsidRDefault="00FF02D4" w:rsidP="008575F6">
      <w:pPr>
        <w:spacing w:before="120" w:after="120" w:line="240" w:lineRule="auto"/>
        <w:jc w:val="center"/>
        <w:rPr>
          <w:rFonts w:ascii="Palatino Linotype" w:hAnsi="Palatino Linotype"/>
          <w:b/>
          <w:szCs w:val="20"/>
        </w:rPr>
      </w:pPr>
      <w:r w:rsidRPr="00C4026F">
        <w:rPr>
          <w:rFonts w:ascii="Palatino Linotype" w:hAnsi="Palatino Linotype"/>
          <w:b/>
          <w:szCs w:val="20"/>
        </w:rPr>
        <w:lastRenderedPageBreak/>
        <w:t>Araştırmanın Sınırlılıkları ve İleri Araştırmalara Yönelik Öneriler</w:t>
      </w:r>
    </w:p>
    <w:p w:rsidR="00FF02D4" w:rsidRPr="00C4026F" w:rsidRDefault="00FF02D4" w:rsidP="008575F6">
      <w:pPr>
        <w:spacing w:after="0" w:line="240" w:lineRule="auto"/>
        <w:ind w:firstLine="708"/>
        <w:jc w:val="both"/>
        <w:rPr>
          <w:rFonts w:ascii="Palatino Linotype" w:hAnsi="Palatino Linotype" w:cs="Times New Roman"/>
          <w:sz w:val="20"/>
          <w:szCs w:val="20"/>
        </w:rPr>
      </w:pPr>
      <w:r w:rsidRPr="00C4026F">
        <w:rPr>
          <w:rFonts w:ascii="Palatino Linotype" w:hAnsi="Palatino Linotype" w:cs="Times New Roman"/>
          <w:sz w:val="20"/>
          <w:szCs w:val="20"/>
        </w:rPr>
        <w:t>Araştırmanın bir takım sınırlılıkları bulunmakta ve bu sınırlılıkların ileri araştırmalarla aşılabileceğine inanılmaktadır. İlk olarak bu çalışmada; akademik tükenmişlik ve sınıf değerlendirme atmosferi arasındaki ilişki lise öğrencilerinden oluşan bir araştırma grubu üzerinde incelenmiştir. Dolayısıyla akademik tükenmişlik ve sınıf değerlendirme atmosferi arasında tespit edilen ilişkinin farklı örneklemler üzerinde sınanması elde edilen bulguların genellenebilirliğine katkı sağlaması bakımından oldukça önemlidir. İkinci olarak bu araştırmada; duygusal tükenmenin %17’sinin, duyarsızlaşmanın %24’ünün ve yetkinliğin %9’unun sınıf değerlendirme atmosferine yönelik algılar ile açıklanabildiği saptanmıştır. Bu bulgu; duygusal tükenmenin %83’ünün, duyarsızlaşmanın %76’ısının ve yetkinliğin %91’inin diğer değişkenler ile açıklanabildiğine işaret etmektedir. Akademik tükenmişliğin yordanmasına yönelik araştırmalara bakıldığında; bu değişkenler arasında öz yeterlilik (</w:t>
      </w:r>
      <w:proofErr w:type="spellStart"/>
      <w:r w:rsidRPr="00C4026F">
        <w:rPr>
          <w:rFonts w:ascii="Palatino Linotype" w:hAnsi="Palatino Linotype" w:cs="Times New Roman"/>
          <w:sz w:val="20"/>
          <w:szCs w:val="20"/>
        </w:rPr>
        <w:t>Yang</w:t>
      </w:r>
      <w:proofErr w:type="spellEnd"/>
      <w:r w:rsidRPr="00C4026F">
        <w:rPr>
          <w:rFonts w:ascii="Palatino Linotype" w:hAnsi="Palatino Linotype" w:cs="Times New Roman"/>
          <w:sz w:val="20"/>
          <w:szCs w:val="20"/>
        </w:rPr>
        <w:t>, 2004), mükemmeliyetçilik (</w:t>
      </w:r>
      <w:proofErr w:type="spellStart"/>
      <w:r w:rsidRPr="00C4026F">
        <w:rPr>
          <w:rFonts w:ascii="Palatino Linotype" w:hAnsi="Palatino Linotype" w:cs="Times New Roman"/>
          <w:sz w:val="20"/>
          <w:szCs w:val="20"/>
        </w:rPr>
        <w:t>Zhang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Gan</w:t>
      </w:r>
      <w:proofErr w:type="spellEnd"/>
      <w:r w:rsidRPr="00C4026F">
        <w:rPr>
          <w:rFonts w:ascii="Palatino Linotype" w:hAnsi="Palatino Linotype" w:cs="Times New Roman"/>
          <w:sz w:val="20"/>
          <w:szCs w:val="20"/>
        </w:rPr>
        <w:t xml:space="preserve"> ve </w:t>
      </w:r>
      <w:proofErr w:type="spellStart"/>
      <w:r w:rsidRPr="00C4026F">
        <w:rPr>
          <w:rFonts w:ascii="Palatino Linotype" w:hAnsi="Palatino Linotype" w:cs="Times New Roman"/>
          <w:sz w:val="20"/>
          <w:szCs w:val="20"/>
        </w:rPr>
        <w:t>Cham</w:t>
      </w:r>
      <w:proofErr w:type="spellEnd"/>
      <w:r w:rsidRPr="00C4026F">
        <w:rPr>
          <w:rFonts w:ascii="Palatino Linotype" w:hAnsi="Palatino Linotype" w:cs="Times New Roman"/>
          <w:sz w:val="20"/>
          <w:szCs w:val="20"/>
        </w:rPr>
        <w:t>, 2007), öznel iyi oluş (Aypay ve Eryılmaz, 2011), algılanan sosyal destek (Kutsal ve Bilge, 2012), stresle başa çıkma, sınav kaygısı, anne-baba tutumu (</w:t>
      </w:r>
      <w:proofErr w:type="spellStart"/>
      <w:r w:rsidRPr="00C4026F">
        <w:rPr>
          <w:rFonts w:ascii="Palatino Linotype" w:hAnsi="Palatino Linotype" w:cs="Times New Roman"/>
          <w:sz w:val="20"/>
          <w:szCs w:val="20"/>
        </w:rPr>
        <w:t>Çapulcuoğlu</w:t>
      </w:r>
      <w:proofErr w:type="spellEnd"/>
      <w:r w:rsidRPr="00C4026F">
        <w:rPr>
          <w:rFonts w:ascii="Palatino Linotype" w:hAnsi="Palatino Linotype" w:cs="Times New Roman"/>
          <w:sz w:val="20"/>
          <w:szCs w:val="20"/>
        </w:rPr>
        <w:t xml:space="preserve"> ve Gündüz, 2013), başarı yönelimi (</w:t>
      </w:r>
      <w:proofErr w:type="spellStart"/>
      <w:r w:rsidRPr="00C4026F">
        <w:rPr>
          <w:rFonts w:ascii="Palatino Linotype" w:hAnsi="Palatino Linotype" w:cs="Times New Roman"/>
          <w:sz w:val="20"/>
          <w:szCs w:val="20"/>
        </w:rPr>
        <w:t>Shih</w:t>
      </w:r>
      <w:proofErr w:type="spellEnd"/>
      <w:r w:rsidRPr="00C4026F">
        <w:rPr>
          <w:rFonts w:ascii="Palatino Linotype" w:hAnsi="Palatino Linotype" w:cs="Times New Roman"/>
          <w:sz w:val="20"/>
          <w:szCs w:val="20"/>
        </w:rPr>
        <w:t>, 2012), akademik erteleme eğilimi (</w:t>
      </w:r>
      <w:proofErr w:type="spellStart"/>
      <w:r w:rsidRPr="00C4026F">
        <w:rPr>
          <w:rFonts w:ascii="Palatino Linotype" w:hAnsi="Palatino Linotype" w:cs="Times New Roman"/>
          <w:sz w:val="20"/>
          <w:szCs w:val="20"/>
        </w:rPr>
        <w:t>Balkıs</w:t>
      </w:r>
      <w:proofErr w:type="spellEnd"/>
      <w:r w:rsidRPr="00C4026F">
        <w:rPr>
          <w:rFonts w:ascii="Palatino Linotype" w:hAnsi="Palatino Linotype" w:cs="Times New Roman"/>
          <w:sz w:val="20"/>
          <w:szCs w:val="20"/>
        </w:rPr>
        <w:t>, 2013) ile kontrol odağının (</w:t>
      </w:r>
      <w:proofErr w:type="spellStart"/>
      <w:r w:rsidRPr="00C4026F">
        <w:rPr>
          <w:rFonts w:ascii="Palatino Linotype" w:hAnsi="Palatino Linotype" w:cs="Times New Roman"/>
          <w:sz w:val="20"/>
          <w:szCs w:val="20"/>
        </w:rPr>
        <w:t>Kalantarkousheh</w:t>
      </w:r>
      <w:proofErr w:type="spellEnd"/>
      <w:r w:rsidRPr="00C4026F">
        <w:rPr>
          <w:rFonts w:ascii="Palatino Linotype" w:hAnsi="Palatino Linotype" w:cs="Times New Roman"/>
          <w:sz w:val="20"/>
          <w:szCs w:val="20"/>
        </w:rPr>
        <w:t xml:space="preserve"> vd</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2013) bulunduğu görülmektedir. Akademik tükenmişlik üzerinde etkili olduğu tespit edilen değişkenlerin tamamının bir arada ele alınacağı bir araştırmanın yapılması akademik tükenmişliğe ilişkin toplam varyansın büyük bir kısmını açıklayan bir modelin ortaya konulmasına olanak tanıyabilir. Böyle bir modelin ortaya konulması öğrencilerin akademik tükenmişliğini azaltmaya yönelik çalışmalara rehberlik edebilir. Son olarak, akademik tükenmişlik ve sınıf değerlendirme atmosferi arasında bir neden-sonuç ilişkisi bulunduğuna dair daha kuvvetli kanıtlar elde edebilmek için konu ile ilgili deneysel çalışmaların yapılması yerinde olacaktır. Çünkü bu çalışmada nedensel karşılaştırma modeli kullanılmış olup nedensel karşılaştırma türündeki araştırmalardan elde edilen bulgulara dayalı olarak yapılacak yorumlar deneysel çalışmalara göre daha kısıtlı olmaktadır (Balcı, 2009; </w:t>
      </w:r>
      <w:proofErr w:type="spellStart"/>
      <w:r w:rsidRPr="00C4026F">
        <w:rPr>
          <w:rFonts w:ascii="Palatino Linotype" w:hAnsi="Palatino Linotype" w:cs="Times New Roman"/>
          <w:sz w:val="20"/>
          <w:szCs w:val="20"/>
        </w:rPr>
        <w:t>Fraenkel</w:t>
      </w:r>
      <w:proofErr w:type="spellEnd"/>
      <w:r w:rsidRPr="00C4026F">
        <w:rPr>
          <w:rFonts w:ascii="Palatino Linotype" w:hAnsi="Palatino Linotype" w:cs="Times New Roman"/>
          <w:sz w:val="20"/>
          <w:szCs w:val="20"/>
        </w:rPr>
        <w:t xml:space="preserve"> ve </w:t>
      </w:r>
      <w:proofErr w:type="spellStart"/>
      <w:r w:rsidRPr="00C4026F">
        <w:rPr>
          <w:rFonts w:ascii="Palatino Linotype" w:hAnsi="Palatino Linotype" w:cs="Times New Roman"/>
          <w:sz w:val="20"/>
          <w:szCs w:val="20"/>
        </w:rPr>
        <w:t>Wallen</w:t>
      </w:r>
      <w:proofErr w:type="spellEnd"/>
      <w:r w:rsidRPr="00C4026F">
        <w:rPr>
          <w:rFonts w:ascii="Palatino Linotype" w:hAnsi="Palatino Linotype" w:cs="Times New Roman"/>
          <w:sz w:val="20"/>
          <w:szCs w:val="20"/>
        </w:rPr>
        <w:t xml:space="preserve">, 2006). Buna bağlı olarak; öğrencilerin sınıf değerlendirme atmosferine yönelik algılarındaki farklılığın akademik tükenmişlik düzeylerinde farklılığa yol açtığı şeklinde bir sonuca varılabilmesi konu ile ilgili deneysel çalışmaların yapılmasını gerektirmektedir. </w:t>
      </w:r>
    </w:p>
    <w:p w:rsidR="00097D34" w:rsidRDefault="00097D34">
      <w:pPr>
        <w:rPr>
          <w:rFonts w:ascii="Palatino Linotype" w:hAnsi="Palatino Linotype"/>
          <w:b/>
        </w:rPr>
      </w:pPr>
      <w:r>
        <w:rPr>
          <w:rFonts w:ascii="Palatino Linotype" w:hAnsi="Palatino Linotype"/>
          <w:b/>
        </w:rPr>
        <w:br w:type="page"/>
      </w:r>
    </w:p>
    <w:p w:rsidR="00D97E7A" w:rsidRPr="00C4026F" w:rsidRDefault="00394010" w:rsidP="008575F6">
      <w:pPr>
        <w:spacing w:before="120" w:after="120" w:line="240" w:lineRule="auto"/>
        <w:jc w:val="center"/>
        <w:rPr>
          <w:rFonts w:ascii="Palatino Linotype" w:hAnsi="Palatino Linotype"/>
          <w:b/>
        </w:rPr>
      </w:pPr>
      <w:r w:rsidRPr="00C4026F">
        <w:rPr>
          <w:rFonts w:ascii="Palatino Linotype" w:hAnsi="Palatino Linotype"/>
          <w:b/>
        </w:rPr>
        <w:lastRenderedPageBreak/>
        <w:t>Kaynakça</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Adie</w:t>
      </w:r>
      <w:proofErr w:type="spellEnd"/>
      <w:r w:rsidRPr="00C4026F">
        <w:rPr>
          <w:rFonts w:ascii="Palatino Linotype" w:hAnsi="Palatino Linotype" w:cs="Times New Roman"/>
          <w:sz w:val="20"/>
          <w:szCs w:val="20"/>
        </w:rPr>
        <w:t>, J</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Wakefield</w:t>
      </w:r>
      <w:proofErr w:type="spellEnd"/>
      <w:r w:rsidRPr="00C4026F">
        <w:rPr>
          <w:rFonts w:ascii="Palatino Linotype" w:hAnsi="Palatino Linotype" w:cs="Times New Roman"/>
          <w:sz w:val="20"/>
          <w:szCs w:val="20"/>
        </w:rPr>
        <w:t xml:space="preserve">, C. (2011). </w:t>
      </w:r>
      <w:proofErr w:type="spellStart"/>
      <w:r w:rsidRPr="00C4026F">
        <w:rPr>
          <w:rFonts w:ascii="Palatino Linotype" w:hAnsi="Palatino Linotype" w:cs="Times New Roman"/>
          <w:sz w:val="20"/>
          <w:szCs w:val="20"/>
        </w:rPr>
        <w:t>Perceptions</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teaching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environment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engagement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among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university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on a </w:t>
      </w:r>
      <w:proofErr w:type="spellStart"/>
      <w:r w:rsidRPr="00C4026F">
        <w:rPr>
          <w:rFonts w:ascii="Palatino Linotype" w:hAnsi="Palatino Linotype" w:cs="Times New Roman"/>
          <w:sz w:val="20"/>
          <w:szCs w:val="20"/>
        </w:rPr>
        <w:t>sports-related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degree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programme</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UK.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Hospitality</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Leisure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Sport</w:t>
      </w:r>
      <w:proofErr w:type="spellEnd"/>
      <w:r w:rsidRPr="00C4026F">
        <w:rPr>
          <w:rFonts w:ascii="Palatino Linotype" w:hAnsi="Palatino Linotype" w:cs="Times New Roman"/>
          <w:i/>
          <w:sz w:val="20"/>
          <w:szCs w:val="20"/>
        </w:rPr>
        <w:t xml:space="preserve"> &amp; </w:t>
      </w:r>
      <w:proofErr w:type="spellStart"/>
      <w:r w:rsidRPr="00C4026F">
        <w:rPr>
          <w:rFonts w:ascii="Palatino Linotype" w:hAnsi="Palatino Linotype" w:cs="Times New Roman"/>
          <w:i/>
          <w:sz w:val="20"/>
          <w:szCs w:val="20"/>
        </w:rPr>
        <w:t>Tourism</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Education</w:t>
      </w:r>
      <w:proofErr w:type="spellEnd"/>
      <w:r w:rsidRPr="00F71F57">
        <w:rPr>
          <w:rFonts w:ascii="Palatino Linotype" w:hAnsi="Palatino Linotype" w:cs="Times New Roman"/>
          <w:i/>
          <w:sz w:val="20"/>
          <w:szCs w:val="20"/>
        </w:rPr>
        <w:t>, 10</w:t>
      </w:r>
      <w:r w:rsidRPr="00C4026F">
        <w:rPr>
          <w:rFonts w:ascii="Palatino Linotype" w:hAnsi="Palatino Linotype" w:cs="Times New Roman"/>
          <w:sz w:val="20"/>
          <w:szCs w:val="20"/>
        </w:rPr>
        <w:t>(2), 74-84.</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Akbulut, Y. (2010). </w:t>
      </w:r>
      <w:r w:rsidRPr="00C4026F">
        <w:rPr>
          <w:rFonts w:ascii="Palatino Linotype" w:hAnsi="Palatino Linotype" w:cs="Times New Roman"/>
          <w:i/>
          <w:sz w:val="20"/>
          <w:szCs w:val="20"/>
        </w:rPr>
        <w:t>Sosyal bilimlerde SPSS uygulamaları</w:t>
      </w:r>
      <w:r w:rsidRPr="00C4026F">
        <w:rPr>
          <w:rFonts w:ascii="Palatino Linotype" w:hAnsi="Palatino Linotype" w:cs="Times New Roman"/>
          <w:sz w:val="20"/>
          <w:szCs w:val="20"/>
        </w:rPr>
        <w:t xml:space="preserve">. </w:t>
      </w:r>
      <w:proofErr w:type="gramStart"/>
      <w:r w:rsidRPr="00C4026F">
        <w:rPr>
          <w:rFonts w:ascii="Palatino Linotype" w:hAnsi="Palatino Linotype" w:cs="Times New Roman"/>
          <w:sz w:val="20"/>
          <w:szCs w:val="20"/>
        </w:rPr>
        <w:t>İstanbul: İdeal Kültür Yayıncılık.</w:t>
      </w:r>
      <w:proofErr w:type="gramEnd"/>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Aldenderfer</w:t>
      </w:r>
      <w:proofErr w:type="spellEnd"/>
      <w:r w:rsidRPr="00C4026F">
        <w:rPr>
          <w:rFonts w:ascii="Palatino Linotype" w:hAnsi="Palatino Linotype" w:cs="Times New Roman"/>
          <w:sz w:val="20"/>
          <w:szCs w:val="20"/>
        </w:rPr>
        <w:t>, M.</w:t>
      </w:r>
      <w:r w:rsidR="00CF4796">
        <w:rPr>
          <w:rFonts w:ascii="Palatino Linotype" w:hAnsi="Palatino Linotype" w:cs="Times New Roman"/>
          <w:sz w:val="20"/>
          <w:szCs w:val="20"/>
        </w:rPr>
        <w:t xml:space="preserve"> </w:t>
      </w:r>
      <w:r w:rsidRPr="00C4026F">
        <w:rPr>
          <w:rFonts w:ascii="Palatino Linotype" w:hAnsi="Palatino Linotype" w:cs="Times New Roman"/>
          <w:sz w:val="20"/>
          <w:szCs w:val="20"/>
        </w:rPr>
        <w:t>S</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Blashfield</w:t>
      </w:r>
      <w:proofErr w:type="spellEnd"/>
      <w:r w:rsidRPr="00C4026F">
        <w:rPr>
          <w:rFonts w:ascii="Palatino Linotype" w:hAnsi="Palatino Linotype" w:cs="Times New Roman"/>
          <w:sz w:val="20"/>
          <w:szCs w:val="20"/>
        </w:rPr>
        <w:t>, R.</w:t>
      </w:r>
      <w:r w:rsidR="00CF4796">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K. (1984). </w:t>
      </w:r>
      <w:r w:rsidRPr="00C4026F">
        <w:rPr>
          <w:rFonts w:ascii="Palatino Linotype" w:hAnsi="Palatino Linotype" w:cs="Times New Roman"/>
          <w:i/>
          <w:sz w:val="20"/>
          <w:szCs w:val="20"/>
        </w:rPr>
        <w:t xml:space="preserve">Cluster </w:t>
      </w:r>
      <w:proofErr w:type="spellStart"/>
      <w:r w:rsidR="001555BA" w:rsidRPr="00C4026F">
        <w:rPr>
          <w:rFonts w:ascii="Palatino Linotype" w:hAnsi="Palatino Linotype" w:cs="Times New Roman"/>
          <w:i/>
          <w:sz w:val="20"/>
          <w:szCs w:val="20"/>
        </w:rPr>
        <w:t>a</w:t>
      </w:r>
      <w:r w:rsidRPr="00C4026F">
        <w:rPr>
          <w:rFonts w:ascii="Palatino Linotype" w:hAnsi="Palatino Linotype" w:cs="Times New Roman"/>
          <w:i/>
          <w:sz w:val="20"/>
          <w:szCs w:val="20"/>
        </w:rPr>
        <w:t>nalysis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Sage</w:t>
      </w:r>
      <w:proofErr w:type="spellEnd"/>
      <w:r w:rsidRPr="00C4026F">
        <w:rPr>
          <w:rFonts w:ascii="Palatino Linotype" w:hAnsi="Palatino Linotype" w:cs="Times New Roman"/>
          <w:sz w:val="20"/>
          <w:szCs w:val="20"/>
        </w:rPr>
        <w:t xml:space="preserve"> Publications, </w:t>
      </w:r>
      <w:proofErr w:type="spellStart"/>
      <w:r w:rsidRPr="00C4026F">
        <w:rPr>
          <w:rFonts w:ascii="Palatino Linotype" w:hAnsi="Palatino Linotype" w:cs="Times New Roman"/>
          <w:sz w:val="20"/>
          <w:szCs w:val="20"/>
        </w:rPr>
        <w:t>Inc</w:t>
      </w:r>
      <w:proofErr w:type="spellEnd"/>
      <w:r w:rsidRPr="00C4026F">
        <w:rPr>
          <w:rFonts w:ascii="Palatino Linotype" w:hAnsi="Palatino Linotype" w:cs="Times New Roman"/>
          <w:sz w:val="20"/>
          <w:szCs w:val="20"/>
        </w:rPr>
        <w:t>.</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Alkharusi, H. (2008) </w:t>
      </w:r>
      <w:proofErr w:type="spellStart"/>
      <w:r w:rsidRPr="00C4026F">
        <w:rPr>
          <w:rFonts w:ascii="Palatino Linotype" w:hAnsi="Palatino Linotype" w:cs="Times New Roman"/>
          <w:sz w:val="20"/>
          <w:szCs w:val="20"/>
        </w:rPr>
        <w:t>Effects</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classroom</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assessment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practices</w:t>
      </w:r>
      <w:proofErr w:type="spellEnd"/>
      <w:r w:rsidRPr="00C4026F">
        <w:rPr>
          <w:rFonts w:ascii="Palatino Linotype" w:hAnsi="Palatino Linotype" w:cs="Times New Roman"/>
          <w:sz w:val="20"/>
          <w:szCs w:val="20"/>
        </w:rPr>
        <w:t xml:space="preserve"> on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achievement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goals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Educational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Assessment</w:t>
      </w:r>
      <w:proofErr w:type="spellEnd"/>
      <w:r w:rsidRPr="00362F50">
        <w:rPr>
          <w:rFonts w:ascii="Palatino Linotype" w:hAnsi="Palatino Linotype" w:cs="Times New Roman"/>
          <w:i/>
          <w:sz w:val="20"/>
          <w:szCs w:val="20"/>
        </w:rPr>
        <w:t>, 13</w:t>
      </w:r>
      <w:r w:rsidRPr="00C4026F">
        <w:rPr>
          <w:rFonts w:ascii="Palatino Linotype" w:hAnsi="Palatino Linotype" w:cs="Times New Roman"/>
          <w:sz w:val="20"/>
          <w:szCs w:val="20"/>
        </w:rPr>
        <w:t>(4), 243-266.</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Alkharusi, H. (2009). </w:t>
      </w:r>
      <w:proofErr w:type="spellStart"/>
      <w:r w:rsidRPr="00C4026F">
        <w:rPr>
          <w:rFonts w:ascii="Palatino Linotype" w:hAnsi="Palatino Linotype" w:cs="Times New Roman"/>
          <w:i/>
          <w:sz w:val="20"/>
          <w:szCs w:val="20"/>
        </w:rPr>
        <w:t>Classroom</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assessment</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environment</w:t>
      </w:r>
      <w:proofErr w:type="spellEnd"/>
      <w:r w:rsidRPr="00C4026F">
        <w:rPr>
          <w:rFonts w:ascii="Palatino Linotype" w:hAnsi="Palatino Linotype" w:cs="Times New Roman"/>
          <w:i/>
          <w:sz w:val="20"/>
          <w:szCs w:val="20"/>
        </w:rPr>
        <w:t>, self-</w:t>
      </w:r>
      <w:proofErr w:type="spellStart"/>
      <w:r w:rsidRPr="00C4026F">
        <w:rPr>
          <w:rFonts w:ascii="Palatino Linotype" w:hAnsi="Palatino Linotype" w:cs="Times New Roman"/>
          <w:i/>
          <w:sz w:val="20"/>
          <w:szCs w:val="20"/>
        </w:rPr>
        <w:t>eff</w:t>
      </w:r>
      <w:r w:rsidR="00CD3E8D" w:rsidRPr="00C4026F">
        <w:rPr>
          <w:rFonts w:ascii="Palatino Linotype" w:hAnsi="Palatino Linotype" w:cs="Times New Roman"/>
          <w:i/>
          <w:sz w:val="20"/>
          <w:szCs w:val="20"/>
        </w:rPr>
        <w:t>i</w:t>
      </w:r>
      <w:r w:rsidRPr="00C4026F">
        <w:rPr>
          <w:rFonts w:ascii="Palatino Linotype" w:hAnsi="Palatino Linotype" w:cs="Times New Roman"/>
          <w:i/>
          <w:sz w:val="20"/>
          <w:szCs w:val="20"/>
        </w:rPr>
        <w:t>cacy</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and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mastery</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goal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orientation</w:t>
      </w:r>
      <w:proofErr w:type="spellEnd"/>
      <w:r w:rsidRPr="00C4026F">
        <w:rPr>
          <w:rFonts w:ascii="Palatino Linotype" w:hAnsi="Palatino Linotype" w:cs="Times New Roman"/>
          <w:i/>
          <w:sz w:val="20"/>
          <w:szCs w:val="20"/>
        </w:rPr>
        <w:t xml:space="preserve">: A </w:t>
      </w:r>
      <w:proofErr w:type="spellStart"/>
      <w:r w:rsidRPr="00C4026F">
        <w:rPr>
          <w:rFonts w:ascii="Palatino Linotype" w:hAnsi="Palatino Linotype" w:cs="Times New Roman"/>
          <w:i/>
          <w:sz w:val="20"/>
          <w:szCs w:val="20"/>
        </w:rPr>
        <w:t>causal</w:t>
      </w:r>
      <w:proofErr w:type="spellEnd"/>
      <w:r w:rsidRPr="00C4026F">
        <w:rPr>
          <w:rFonts w:ascii="Palatino Linotype" w:hAnsi="Palatino Linotype" w:cs="Times New Roman"/>
          <w:i/>
          <w:sz w:val="20"/>
          <w:szCs w:val="20"/>
        </w:rPr>
        <w:t xml:space="preserve"> model</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Paper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Presente</w:t>
      </w:r>
      <w:bookmarkStart w:id="0" w:name="_GoBack"/>
      <w:bookmarkEnd w:id="0"/>
      <w:r w:rsidRPr="00C4026F">
        <w:rPr>
          <w:rFonts w:ascii="Palatino Linotype" w:hAnsi="Palatino Linotype" w:cs="Times New Roman"/>
          <w:sz w:val="20"/>
          <w:szCs w:val="20"/>
        </w:rPr>
        <w:t>d</w:t>
      </w:r>
      <w:proofErr w:type="spellEnd"/>
      <w:r w:rsidRPr="00C4026F">
        <w:rPr>
          <w:rFonts w:ascii="Palatino Linotype" w:hAnsi="Palatino Linotype" w:cs="Times New Roman"/>
          <w:sz w:val="20"/>
          <w:szCs w:val="20"/>
        </w:rPr>
        <w:t xml:space="preserve"> at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2</w:t>
      </w:r>
      <w:r w:rsidRPr="00C4026F">
        <w:rPr>
          <w:rFonts w:ascii="Palatino Linotype" w:hAnsi="Palatino Linotype" w:cs="Times New Roman"/>
          <w:sz w:val="20"/>
          <w:szCs w:val="20"/>
          <w:vertAlign w:val="superscript"/>
        </w:rPr>
        <w:t>nd</w:t>
      </w:r>
      <w:r w:rsidRPr="00C4026F">
        <w:rPr>
          <w:rFonts w:ascii="Palatino Linotype" w:hAnsi="Palatino Linotype" w:cs="Times New Roman"/>
          <w:sz w:val="20"/>
          <w:szCs w:val="20"/>
        </w:rPr>
        <w:t xml:space="preserve"> International Conference of </w:t>
      </w:r>
      <w:proofErr w:type="spellStart"/>
      <w:r w:rsidRPr="00C4026F">
        <w:rPr>
          <w:rFonts w:ascii="Palatino Linotype" w:hAnsi="Palatino Linotype" w:cs="Times New Roman"/>
          <w:sz w:val="20"/>
          <w:szCs w:val="20"/>
        </w:rPr>
        <w:t>Teaching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Learning (ICTL 2009), INTI </w:t>
      </w:r>
      <w:proofErr w:type="spellStart"/>
      <w:r w:rsidRPr="00C4026F">
        <w:rPr>
          <w:rFonts w:ascii="Palatino Linotype" w:hAnsi="Palatino Linotype" w:cs="Times New Roman"/>
          <w:sz w:val="20"/>
          <w:szCs w:val="20"/>
        </w:rPr>
        <w:t>University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College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Malaysia</w:t>
      </w:r>
      <w:proofErr w:type="spellEnd"/>
      <w:r w:rsidRPr="00C4026F">
        <w:rPr>
          <w:rFonts w:ascii="Palatino Linotype" w:hAnsi="Palatino Linotype" w:cs="Times New Roman"/>
          <w:sz w:val="20"/>
          <w:szCs w:val="20"/>
        </w:rPr>
        <w:t xml:space="preserve">.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Alkharusi, H. (2010). </w:t>
      </w:r>
      <w:proofErr w:type="spellStart"/>
      <w:r w:rsidRPr="00C4026F">
        <w:rPr>
          <w:rFonts w:ascii="Palatino Linotype" w:hAnsi="Palatino Linotype" w:cs="Times New Roman"/>
          <w:sz w:val="20"/>
          <w:szCs w:val="20"/>
        </w:rPr>
        <w:t>Teachers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assessment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practices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perceptions</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classroom</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assessment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environment</w:t>
      </w:r>
      <w:proofErr w:type="spellEnd"/>
      <w:r w:rsidRPr="00C4026F">
        <w:rPr>
          <w:rFonts w:ascii="Palatino Linotype" w:hAnsi="Palatino Linotype" w:cs="Times New Roman"/>
          <w:sz w:val="20"/>
          <w:szCs w:val="20"/>
        </w:rPr>
        <w:t xml:space="preserve">. </w:t>
      </w:r>
      <w:r w:rsidRPr="00C4026F">
        <w:rPr>
          <w:rFonts w:ascii="Palatino Linotype" w:hAnsi="Palatino Linotype" w:cs="Times New Roman"/>
          <w:i/>
          <w:sz w:val="20"/>
          <w:szCs w:val="20"/>
        </w:rPr>
        <w:t xml:space="preserve">World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on </w:t>
      </w:r>
      <w:proofErr w:type="spellStart"/>
      <w:r w:rsidRPr="00C4026F">
        <w:rPr>
          <w:rFonts w:ascii="Palatino Linotype" w:hAnsi="Palatino Linotype" w:cs="Times New Roman"/>
          <w:i/>
          <w:sz w:val="20"/>
          <w:szCs w:val="20"/>
        </w:rPr>
        <w:t>Educational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Technology</w:t>
      </w:r>
      <w:proofErr w:type="spellEnd"/>
      <w:r w:rsidRPr="00601B78">
        <w:rPr>
          <w:rFonts w:ascii="Palatino Linotype" w:hAnsi="Palatino Linotype" w:cs="Times New Roman"/>
          <w:i/>
          <w:sz w:val="20"/>
          <w:szCs w:val="20"/>
        </w:rPr>
        <w:t>, 2</w:t>
      </w:r>
      <w:r w:rsidRPr="00C4026F">
        <w:rPr>
          <w:rFonts w:ascii="Palatino Linotype" w:hAnsi="Palatino Linotype" w:cs="Times New Roman"/>
          <w:sz w:val="20"/>
          <w:szCs w:val="20"/>
        </w:rPr>
        <w:t xml:space="preserve">(1), 27-41.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Alkharusi, H. (2011). Development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datametric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properties</w:t>
      </w:r>
      <w:proofErr w:type="spellEnd"/>
      <w:r w:rsidRPr="00C4026F">
        <w:rPr>
          <w:rFonts w:ascii="Palatino Linotype" w:hAnsi="Palatino Linotype" w:cs="Times New Roman"/>
          <w:sz w:val="20"/>
          <w:szCs w:val="20"/>
        </w:rPr>
        <w:t xml:space="preserve"> of a </w:t>
      </w:r>
      <w:proofErr w:type="spellStart"/>
      <w:r w:rsidRPr="00C4026F">
        <w:rPr>
          <w:rFonts w:ascii="Palatino Linotype" w:hAnsi="Palatino Linotype" w:cs="Times New Roman"/>
          <w:sz w:val="20"/>
          <w:szCs w:val="20"/>
        </w:rPr>
        <w:t>scale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measuring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perceptions</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w:t>
      </w:r>
      <w:proofErr w:type="spellStart"/>
      <w:r w:rsidR="00F627D1" w:rsidRPr="00C4026F">
        <w:rPr>
          <w:rFonts w:ascii="Palatino Linotype" w:hAnsi="Palatino Linotype" w:cs="Times New Roman"/>
          <w:sz w:val="20"/>
          <w:szCs w:val="20"/>
        </w:rPr>
        <w:t>classroom</w:t>
      </w:r>
      <w:proofErr w:type="spellEnd"/>
      <w:r w:rsidR="00F627D1" w:rsidRPr="00C4026F">
        <w:rPr>
          <w:rFonts w:ascii="Palatino Linotype" w:hAnsi="Palatino Linotype" w:cs="Times New Roman"/>
          <w:sz w:val="20"/>
          <w:szCs w:val="20"/>
        </w:rPr>
        <w:t xml:space="preserve"> </w:t>
      </w:r>
      <w:proofErr w:type="spellStart"/>
      <w:r w:rsidR="00F627D1" w:rsidRPr="00C4026F">
        <w:rPr>
          <w:rFonts w:ascii="Palatino Linotype" w:hAnsi="Palatino Linotype" w:cs="Times New Roman"/>
          <w:sz w:val="20"/>
          <w:szCs w:val="20"/>
        </w:rPr>
        <w:t>assessment</w:t>
      </w:r>
      <w:proofErr w:type="spellEnd"/>
      <w:r w:rsidR="00F627D1" w:rsidRPr="00C4026F">
        <w:rPr>
          <w:rFonts w:ascii="Palatino Linotype" w:hAnsi="Palatino Linotype" w:cs="Times New Roman"/>
          <w:sz w:val="20"/>
          <w:szCs w:val="20"/>
        </w:rPr>
        <w:t xml:space="preserve"> </w:t>
      </w:r>
      <w:proofErr w:type="spellStart"/>
      <w:r w:rsidR="00F627D1" w:rsidRPr="00C4026F">
        <w:rPr>
          <w:rFonts w:ascii="Palatino Linotype" w:hAnsi="Palatino Linotype" w:cs="Times New Roman"/>
          <w:sz w:val="20"/>
          <w:szCs w:val="20"/>
        </w:rPr>
        <w:t>envi</w:t>
      </w:r>
      <w:r w:rsidRPr="00C4026F">
        <w:rPr>
          <w:rFonts w:ascii="Palatino Linotype" w:hAnsi="Palatino Linotype" w:cs="Times New Roman"/>
          <w:sz w:val="20"/>
          <w:szCs w:val="20"/>
        </w:rPr>
        <w:t>ronment</w:t>
      </w:r>
      <w:proofErr w:type="spellEnd"/>
      <w:r w:rsidRPr="00C4026F">
        <w:rPr>
          <w:rFonts w:ascii="Palatino Linotype" w:hAnsi="Palatino Linotype" w:cs="Times New Roman"/>
          <w:sz w:val="20"/>
          <w:szCs w:val="20"/>
        </w:rPr>
        <w:t xml:space="preserve">. </w:t>
      </w:r>
      <w:r w:rsidRPr="00C4026F">
        <w:rPr>
          <w:rFonts w:ascii="Palatino Linotype" w:hAnsi="Palatino Linotype" w:cs="Times New Roman"/>
          <w:i/>
          <w:sz w:val="20"/>
          <w:szCs w:val="20"/>
        </w:rPr>
        <w:t xml:space="preserve">International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Instruction</w:t>
      </w:r>
      <w:proofErr w:type="spellEnd"/>
      <w:r w:rsidRPr="004448EF">
        <w:rPr>
          <w:rFonts w:ascii="Palatino Linotype" w:hAnsi="Palatino Linotype" w:cs="Times New Roman"/>
          <w:i/>
          <w:sz w:val="20"/>
          <w:szCs w:val="20"/>
        </w:rPr>
        <w:t>, 4</w:t>
      </w:r>
      <w:r w:rsidRPr="00C4026F">
        <w:rPr>
          <w:rFonts w:ascii="Palatino Linotype" w:hAnsi="Palatino Linotype" w:cs="Times New Roman"/>
          <w:sz w:val="20"/>
          <w:szCs w:val="20"/>
        </w:rPr>
        <w:t>(1), 1308-1470.</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Alkharusi, H</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Aldhafri</w:t>
      </w:r>
      <w:proofErr w:type="spellEnd"/>
      <w:r w:rsidRPr="00C4026F">
        <w:rPr>
          <w:rFonts w:ascii="Palatino Linotype" w:hAnsi="Palatino Linotype" w:cs="Times New Roman"/>
          <w:sz w:val="20"/>
          <w:szCs w:val="20"/>
        </w:rPr>
        <w:t xml:space="preserve">, S., </w:t>
      </w:r>
      <w:proofErr w:type="spellStart"/>
      <w:r w:rsidRPr="00C4026F">
        <w:rPr>
          <w:rFonts w:ascii="Palatino Linotype" w:hAnsi="Palatino Linotype" w:cs="Times New Roman"/>
          <w:sz w:val="20"/>
          <w:szCs w:val="20"/>
        </w:rPr>
        <w:t>Alnabhani</w:t>
      </w:r>
      <w:proofErr w:type="spellEnd"/>
      <w:r w:rsidRPr="00C4026F">
        <w:rPr>
          <w:rFonts w:ascii="Palatino Linotype" w:hAnsi="Palatino Linotype" w:cs="Times New Roman"/>
          <w:sz w:val="20"/>
          <w:szCs w:val="20"/>
        </w:rPr>
        <w:t>, H</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Alkalbani</w:t>
      </w:r>
      <w:proofErr w:type="spellEnd"/>
      <w:r w:rsidRPr="00C4026F">
        <w:rPr>
          <w:rFonts w:ascii="Palatino Linotype" w:hAnsi="Palatino Linotype" w:cs="Times New Roman"/>
          <w:sz w:val="20"/>
          <w:szCs w:val="20"/>
        </w:rPr>
        <w:t xml:space="preserve">, M. (2013). </w:t>
      </w:r>
      <w:proofErr w:type="spellStart"/>
      <w:r w:rsidRPr="00C4026F">
        <w:rPr>
          <w:rFonts w:ascii="Palatino Linotype" w:hAnsi="Palatino Linotype" w:cs="Times New Roman"/>
          <w:sz w:val="20"/>
          <w:szCs w:val="20"/>
        </w:rPr>
        <w:t>Modeling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relationship</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between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perceptions</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assessment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tasks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classroom</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assessment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environment</w:t>
      </w:r>
      <w:proofErr w:type="spellEnd"/>
      <w:r w:rsidRPr="00C4026F">
        <w:rPr>
          <w:rFonts w:ascii="Palatino Linotype" w:hAnsi="Palatino Linotype" w:cs="Times New Roman"/>
          <w:sz w:val="20"/>
          <w:szCs w:val="20"/>
        </w:rPr>
        <w:t xml:space="preserve"> as a </w:t>
      </w:r>
      <w:proofErr w:type="spellStart"/>
      <w:r w:rsidRPr="00C4026F">
        <w:rPr>
          <w:rFonts w:ascii="Palatino Linotype" w:hAnsi="Palatino Linotype" w:cs="Times New Roman"/>
          <w:sz w:val="20"/>
          <w:szCs w:val="20"/>
        </w:rPr>
        <w:t>function</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gender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Asia</w:t>
      </w:r>
      <w:proofErr w:type="spellEnd"/>
      <w:r w:rsidRPr="00C4026F">
        <w:rPr>
          <w:rFonts w:ascii="Palatino Linotype" w:hAnsi="Palatino Linotype" w:cs="Times New Roman"/>
          <w:i/>
          <w:sz w:val="20"/>
          <w:szCs w:val="20"/>
        </w:rPr>
        <w:t xml:space="preserve"> Pacific </w:t>
      </w:r>
      <w:proofErr w:type="spellStart"/>
      <w:r w:rsidRPr="00C4026F">
        <w:rPr>
          <w:rFonts w:ascii="Palatino Linotype" w:hAnsi="Palatino Linotype" w:cs="Times New Roman"/>
          <w:i/>
          <w:sz w:val="20"/>
          <w:szCs w:val="20"/>
        </w:rPr>
        <w:t>Education</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Researcher</w:t>
      </w:r>
      <w:proofErr w:type="spellEnd"/>
      <w:r w:rsidRPr="00B4682D">
        <w:rPr>
          <w:rFonts w:ascii="Palatino Linotype" w:hAnsi="Palatino Linotype" w:cs="Times New Roman"/>
          <w:i/>
          <w:sz w:val="20"/>
          <w:szCs w:val="20"/>
        </w:rPr>
        <w:t>, 23</w:t>
      </w:r>
      <w:r w:rsidRPr="00C4026F">
        <w:rPr>
          <w:rFonts w:ascii="Palatino Linotype" w:hAnsi="Palatino Linotype" w:cs="Times New Roman"/>
          <w:sz w:val="20"/>
          <w:szCs w:val="20"/>
        </w:rPr>
        <w:t>(1), 93-104.</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Aypay, A. (2011). İlköğretim II. kademe öğrencileri için okul tükenmişliği ölçeği: Geçerlik ve güvenirlik çalışması. </w:t>
      </w:r>
      <w:r w:rsidRPr="00C4026F">
        <w:rPr>
          <w:rFonts w:ascii="Palatino Linotype" w:hAnsi="Palatino Linotype" w:cs="Times New Roman"/>
          <w:i/>
          <w:sz w:val="20"/>
          <w:szCs w:val="20"/>
        </w:rPr>
        <w:t>Kuram ve Uygulamada Eğitim Bilimleri</w:t>
      </w:r>
      <w:r w:rsidRPr="000C4D6F">
        <w:rPr>
          <w:rFonts w:ascii="Palatino Linotype" w:hAnsi="Palatino Linotype" w:cs="Times New Roman"/>
          <w:i/>
          <w:sz w:val="20"/>
          <w:szCs w:val="20"/>
        </w:rPr>
        <w:t>, 11</w:t>
      </w:r>
      <w:r w:rsidRPr="00C4026F">
        <w:rPr>
          <w:rFonts w:ascii="Palatino Linotype" w:hAnsi="Palatino Linotype" w:cs="Times New Roman"/>
          <w:sz w:val="20"/>
          <w:szCs w:val="20"/>
        </w:rPr>
        <w:t>(2), 511-527.</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Aypay, A</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Eryılmaz, A. (2011). Lise öğrencilerinin öznel iyi oluşları ve okul tükenmişliği arasındaki ilişkiler. </w:t>
      </w:r>
      <w:r w:rsidRPr="00C4026F">
        <w:rPr>
          <w:rFonts w:ascii="Palatino Linotype" w:hAnsi="Palatino Linotype" w:cs="Times New Roman"/>
          <w:i/>
          <w:sz w:val="20"/>
          <w:szCs w:val="20"/>
        </w:rPr>
        <w:t xml:space="preserve">International Online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Educational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Sciences</w:t>
      </w:r>
      <w:proofErr w:type="spellEnd"/>
      <w:r w:rsidRPr="00C86CE9">
        <w:rPr>
          <w:rFonts w:ascii="Palatino Linotype" w:hAnsi="Palatino Linotype" w:cs="Times New Roman"/>
          <w:i/>
          <w:sz w:val="20"/>
          <w:szCs w:val="20"/>
        </w:rPr>
        <w:t>, 3</w:t>
      </w:r>
      <w:r w:rsidRPr="00C4026F">
        <w:rPr>
          <w:rFonts w:ascii="Palatino Linotype" w:hAnsi="Palatino Linotype" w:cs="Times New Roman"/>
          <w:sz w:val="20"/>
          <w:szCs w:val="20"/>
        </w:rPr>
        <w:t xml:space="preserve">(1), 181-199.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Balcı, A. (2009). </w:t>
      </w:r>
      <w:r w:rsidRPr="00C4026F">
        <w:rPr>
          <w:rFonts w:ascii="Palatino Linotype" w:hAnsi="Palatino Linotype" w:cs="Times New Roman"/>
          <w:i/>
          <w:sz w:val="20"/>
          <w:szCs w:val="20"/>
        </w:rPr>
        <w:t>Sosyal</w:t>
      </w:r>
      <w:r w:rsidRPr="00C4026F">
        <w:rPr>
          <w:rFonts w:ascii="Palatino Linotype" w:hAnsi="Palatino Linotype" w:cs="Times New Roman"/>
          <w:sz w:val="20"/>
          <w:szCs w:val="20"/>
        </w:rPr>
        <w:t xml:space="preserve"> </w:t>
      </w:r>
      <w:r w:rsidRPr="00C4026F">
        <w:rPr>
          <w:rFonts w:ascii="Palatino Linotype" w:hAnsi="Palatino Linotype" w:cs="Times New Roman"/>
          <w:i/>
          <w:sz w:val="20"/>
          <w:szCs w:val="20"/>
        </w:rPr>
        <w:t>bilimlerde araştırma yöntem, teknik ve ilkeler</w:t>
      </w:r>
      <w:r w:rsidRPr="00C4026F">
        <w:rPr>
          <w:rFonts w:ascii="Palatino Linotype" w:hAnsi="Palatino Linotype" w:cs="Times New Roman"/>
          <w:sz w:val="20"/>
          <w:szCs w:val="20"/>
        </w:rPr>
        <w:t>. Ankara: Pegem Akademi Yayınları.</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Balkıs</w:t>
      </w:r>
      <w:proofErr w:type="spellEnd"/>
      <w:r w:rsidRPr="00C4026F">
        <w:rPr>
          <w:rFonts w:ascii="Palatino Linotype" w:hAnsi="Palatino Linotype" w:cs="Times New Roman"/>
          <w:sz w:val="20"/>
          <w:szCs w:val="20"/>
        </w:rPr>
        <w:t xml:space="preserve">, M. (2013).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relationship</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between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procrastination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r w:rsidRPr="00C4026F">
        <w:rPr>
          <w:rFonts w:ascii="Palatino Linotype" w:hAnsi="Palatino Linotype" w:cs="Times New Roman"/>
          <w:i/>
          <w:sz w:val="20"/>
          <w:szCs w:val="20"/>
        </w:rPr>
        <w:t>Hacettepe Üniversitesi Eğitim Fakültesi Dergisi</w:t>
      </w:r>
      <w:r w:rsidRPr="00B91F3A">
        <w:rPr>
          <w:rFonts w:ascii="Palatino Linotype" w:hAnsi="Palatino Linotype" w:cs="Times New Roman"/>
          <w:i/>
          <w:sz w:val="20"/>
          <w:szCs w:val="20"/>
        </w:rPr>
        <w:t>, 28</w:t>
      </w:r>
      <w:r w:rsidRPr="00C4026F">
        <w:rPr>
          <w:rFonts w:ascii="Palatino Linotype" w:hAnsi="Palatino Linotype" w:cs="Times New Roman"/>
          <w:sz w:val="20"/>
          <w:szCs w:val="20"/>
        </w:rPr>
        <w:t xml:space="preserve">(1), 68-78.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Balkıs</w:t>
      </w:r>
      <w:proofErr w:type="spellEnd"/>
      <w:r w:rsidRPr="00C4026F">
        <w:rPr>
          <w:rFonts w:ascii="Palatino Linotype" w:hAnsi="Palatino Linotype" w:cs="Times New Roman"/>
          <w:sz w:val="20"/>
          <w:szCs w:val="20"/>
        </w:rPr>
        <w:t>, M</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Duru, E., Buluş, M</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Duru, S. (2011). Tükenmişliğin öğretmen adayları arasındaki yaygınlığı, demografik değişkenler ve akademik başarı ile ilişkisi. </w:t>
      </w:r>
      <w:r w:rsidRPr="00C4026F">
        <w:rPr>
          <w:rFonts w:ascii="Palatino Linotype" w:hAnsi="Palatino Linotype" w:cs="Times New Roman"/>
          <w:i/>
          <w:sz w:val="20"/>
          <w:szCs w:val="20"/>
        </w:rPr>
        <w:t>Pamukkale Üniversitesi Eğitim Fakültesi Dergisi</w:t>
      </w:r>
      <w:r w:rsidRPr="00382759">
        <w:rPr>
          <w:rFonts w:ascii="Palatino Linotype" w:hAnsi="Palatino Linotype" w:cs="Times New Roman"/>
          <w:i/>
          <w:sz w:val="20"/>
          <w:szCs w:val="20"/>
        </w:rPr>
        <w:t>, 29</w:t>
      </w:r>
      <w:r w:rsidRPr="00C4026F">
        <w:rPr>
          <w:rFonts w:ascii="Palatino Linotype" w:hAnsi="Palatino Linotype" w:cs="Times New Roman"/>
          <w:sz w:val="20"/>
          <w:szCs w:val="20"/>
        </w:rPr>
        <w:t xml:space="preserve">, 151-165.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Balogun</w:t>
      </w:r>
      <w:proofErr w:type="spellEnd"/>
      <w:r w:rsidRPr="00C4026F">
        <w:rPr>
          <w:rFonts w:ascii="Palatino Linotype" w:hAnsi="Palatino Linotype" w:cs="Times New Roman"/>
          <w:sz w:val="20"/>
          <w:szCs w:val="20"/>
        </w:rPr>
        <w:t>, J.</w:t>
      </w:r>
      <w:r w:rsidR="008E711E">
        <w:rPr>
          <w:rFonts w:ascii="Palatino Linotype" w:hAnsi="Palatino Linotype" w:cs="Times New Roman"/>
          <w:sz w:val="20"/>
          <w:szCs w:val="20"/>
        </w:rPr>
        <w:t xml:space="preserve"> </w:t>
      </w:r>
      <w:r w:rsidRPr="00C4026F">
        <w:rPr>
          <w:rFonts w:ascii="Palatino Linotype" w:hAnsi="Palatino Linotype" w:cs="Times New Roman"/>
          <w:sz w:val="20"/>
          <w:szCs w:val="20"/>
        </w:rPr>
        <w:t>A</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Hoeberlein</w:t>
      </w:r>
      <w:proofErr w:type="spellEnd"/>
      <w:r w:rsidRPr="00C4026F">
        <w:rPr>
          <w:rFonts w:ascii="Palatino Linotype" w:hAnsi="Palatino Linotype" w:cs="Times New Roman"/>
          <w:sz w:val="20"/>
          <w:szCs w:val="20"/>
        </w:rPr>
        <w:t>-Miller, T.</w:t>
      </w:r>
      <w:r w:rsidR="008E711E">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M., </w:t>
      </w:r>
      <w:proofErr w:type="spellStart"/>
      <w:r w:rsidRPr="00C4026F">
        <w:rPr>
          <w:rFonts w:ascii="Palatino Linotype" w:hAnsi="Palatino Linotype" w:cs="Times New Roman"/>
          <w:sz w:val="20"/>
          <w:szCs w:val="20"/>
        </w:rPr>
        <w:t>Schneider</w:t>
      </w:r>
      <w:proofErr w:type="spellEnd"/>
      <w:r w:rsidRPr="00C4026F">
        <w:rPr>
          <w:rFonts w:ascii="Palatino Linotype" w:hAnsi="Palatino Linotype" w:cs="Times New Roman"/>
          <w:sz w:val="20"/>
          <w:szCs w:val="20"/>
        </w:rPr>
        <w:t>, E</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Katz</w:t>
      </w:r>
      <w:proofErr w:type="spellEnd"/>
      <w:r w:rsidRPr="00C4026F">
        <w:rPr>
          <w:rFonts w:ascii="Palatino Linotype" w:hAnsi="Palatino Linotype" w:cs="Times New Roman"/>
          <w:sz w:val="20"/>
          <w:szCs w:val="20"/>
        </w:rPr>
        <w:t>, J.</w:t>
      </w:r>
      <w:r w:rsidR="008E711E">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S. (1996).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performance</w:t>
      </w:r>
      <w:proofErr w:type="spellEnd"/>
      <w:r w:rsidRPr="00C4026F">
        <w:rPr>
          <w:rFonts w:ascii="Palatino Linotype" w:hAnsi="Palatino Linotype" w:cs="Times New Roman"/>
          <w:sz w:val="20"/>
          <w:szCs w:val="20"/>
        </w:rPr>
        <w:t xml:space="preserve"> is not a </w:t>
      </w:r>
      <w:proofErr w:type="spellStart"/>
      <w:r w:rsidRPr="00C4026F">
        <w:rPr>
          <w:rFonts w:ascii="Palatino Linotype" w:hAnsi="Palatino Linotype" w:cs="Times New Roman"/>
          <w:sz w:val="20"/>
          <w:szCs w:val="20"/>
        </w:rPr>
        <w:t>viable</w:t>
      </w:r>
      <w:proofErr w:type="spellEnd"/>
      <w:r w:rsidRPr="00C4026F">
        <w:rPr>
          <w:rFonts w:ascii="Palatino Linotype" w:hAnsi="Palatino Linotype" w:cs="Times New Roman"/>
          <w:sz w:val="20"/>
          <w:szCs w:val="20"/>
        </w:rPr>
        <w:t xml:space="preserve"> determinant of </w:t>
      </w:r>
      <w:proofErr w:type="spellStart"/>
      <w:r w:rsidRPr="00C4026F">
        <w:rPr>
          <w:rFonts w:ascii="Palatino Linotype" w:hAnsi="Palatino Linotype" w:cs="Times New Roman"/>
          <w:sz w:val="20"/>
          <w:szCs w:val="20"/>
        </w:rPr>
        <w:t>physical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therapy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Percept</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Mot</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Skills</w:t>
      </w:r>
      <w:proofErr w:type="spellEnd"/>
      <w:r w:rsidRPr="00FD70A5">
        <w:rPr>
          <w:rFonts w:ascii="Palatino Linotype" w:hAnsi="Palatino Linotype" w:cs="Times New Roman"/>
          <w:i/>
          <w:sz w:val="20"/>
          <w:szCs w:val="20"/>
        </w:rPr>
        <w:t>, 83</w:t>
      </w:r>
      <w:r w:rsidRPr="00C4026F">
        <w:rPr>
          <w:rFonts w:ascii="Palatino Linotype" w:hAnsi="Palatino Linotype" w:cs="Times New Roman"/>
          <w:sz w:val="20"/>
          <w:szCs w:val="20"/>
        </w:rPr>
        <w:t xml:space="preserve">(1), 21-22.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Banks</w:t>
      </w:r>
      <w:proofErr w:type="spellEnd"/>
      <w:r w:rsidRPr="00C4026F">
        <w:rPr>
          <w:rFonts w:ascii="Palatino Linotype" w:hAnsi="Palatino Linotype" w:cs="Times New Roman"/>
          <w:sz w:val="20"/>
          <w:szCs w:val="20"/>
        </w:rPr>
        <w:t>, S.</w:t>
      </w:r>
      <w:r w:rsidR="008E711E">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R. (2012). </w:t>
      </w:r>
      <w:proofErr w:type="spellStart"/>
      <w:r w:rsidRPr="00C4026F">
        <w:rPr>
          <w:rFonts w:ascii="Palatino Linotype" w:hAnsi="Palatino Linotype" w:cs="Times New Roman"/>
          <w:i/>
          <w:sz w:val="20"/>
          <w:szCs w:val="20"/>
        </w:rPr>
        <w:t>Classroom</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assessment</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Issues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and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practices</w:t>
      </w:r>
      <w:proofErr w:type="spellEnd"/>
      <w:r w:rsidRPr="00C4026F">
        <w:rPr>
          <w:rFonts w:ascii="Palatino Linotype" w:hAnsi="Palatino Linotype" w:cs="Times New Roman"/>
          <w:sz w:val="20"/>
          <w:szCs w:val="20"/>
        </w:rPr>
        <w:t xml:space="preserve">. IL: </w:t>
      </w:r>
      <w:proofErr w:type="spellStart"/>
      <w:r w:rsidRPr="00C4026F">
        <w:rPr>
          <w:rFonts w:ascii="Palatino Linotype" w:hAnsi="Palatino Linotype" w:cs="Times New Roman"/>
          <w:sz w:val="20"/>
          <w:szCs w:val="20"/>
        </w:rPr>
        <w:t>Waveland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Press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Inc</w:t>
      </w:r>
      <w:proofErr w:type="spellEnd"/>
      <w:r w:rsidRPr="00C4026F">
        <w:rPr>
          <w:rFonts w:ascii="Palatino Linotype" w:hAnsi="Palatino Linotype" w:cs="Times New Roman"/>
          <w:sz w:val="20"/>
          <w:szCs w:val="20"/>
        </w:rPr>
        <w:t>.</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Baş, G. (2011). </w:t>
      </w:r>
      <w:proofErr w:type="spellStart"/>
      <w:r w:rsidRPr="00C4026F">
        <w:rPr>
          <w:rFonts w:ascii="Palatino Linotype" w:hAnsi="Palatino Linotype" w:cs="Times New Roman"/>
          <w:sz w:val="20"/>
          <w:szCs w:val="20"/>
        </w:rPr>
        <w:t>Teacher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w:t>
      </w:r>
      <w:proofErr w:type="spellEnd"/>
      <w:r w:rsidR="002F2E68" w:rsidRPr="00C4026F">
        <w:rPr>
          <w:rFonts w:ascii="Palatino Linotype" w:hAnsi="Palatino Linotype" w:cs="Times New Roman"/>
          <w:sz w:val="20"/>
          <w:szCs w:val="20"/>
        </w:rPr>
        <w:t xml:space="preserve"> </w:t>
      </w:r>
      <w:proofErr w:type="spellStart"/>
      <w:r w:rsidR="002F2E68" w:rsidRPr="00C4026F">
        <w:rPr>
          <w:rFonts w:ascii="Palatino Linotype" w:hAnsi="Palatino Linotype" w:cs="Times New Roman"/>
          <w:sz w:val="20"/>
          <w:szCs w:val="20"/>
        </w:rPr>
        <w:t>control</w:t>
      </w:r>
      <w:proofErr w:type="spellEnd"/>
      <w:r w:rsidR="002F2E68" w:rsidRPr="00C4026F">
        <w:rPr>
          <w:rFonts w:ascii="Palatino Linotype" w:hAnsi="Palatino Linotype" w:cs="Times New Roman"/>
          <w:sz w:val="20"/>
          <w:szCs w:val="20"/>
        </w:rPr>
        <w:t xml:space="preserve"> </w:t>
      </w:r>
      <w:proofErr w:type="spellStart"/>
      <w:r w:rsidR="002F2E68" w:rsidRPr="00C4026F">
        <w:rPr>
          <w:rFonts w:ascii="Palatino Linotype" w:hAnsi="Palatino Linotype" w:cs="Times New Roman"/>
          <w:sz w:val="20"/>
          <w:szCs w:val="20"/>
        </w:rPr>
        <w:t>ideology</w:t>
      </w:r>
      <w:proofErr w:type="spellEnd"/>
      <w:r w:rsidR="002F2E68" w:rsidRPr="00C4026F">
        <w:rPr>
          <w:rFonts w:ascii="Palatino Linotype" w:hAnsi="Palatino Linotype" w:cs="Times New Roman"/>
          <w:sz w:val="20"/>
          <w:szCs w:val="20"/>
        </w:rPr>
        <w:t xml:space="preserve"> </w:t>
      </w:r>
      <w:proofErr w:type="spellStart"/>
      <w:r w:rsidR="002F2E68" w:rsidRPr="00C4026F">
        <w:rPr>
          <w:rFonts w:ascii="Palatino Linotype" w:hAnsi="Palatino Linotype" w:cs="Times New Roman"/>
          <w:sz w:val="20"/>
          <w:szCs w:val="20"/>
        </w:rPr>
        <w:t>and</w:t>
      </w:r>
      <w:proofErr w:type="spellEnd"/>
      <w:r w:rsidR="002F2E68" w:rsidRPr="00C4026F">
        <w:rPr>
          <w:rFonts w:ascii="Palatino Linotype" w:hAnsi="Palatino Linotype" w:cs="Times New Roman"/>
          <w:sz w:val="20"/>
          <w:szCs w:val="20"/>
        </w:rPr>
        <w:t xml:space="preserve"> </w:t>
      </w:r>
      <w:proofErr w:type="spellStart"/>
      <w:r w:rsidR="002F2E68" w:rsidRPr="00C4026F">
        <w:rPr>
          <w:rFonts w:ascii="Palatino Linotype" w:hAnsi="Palatino Linotype" w:cs="Times New Roman"/>
          <w:sz w:val="20"/>
          <w:szCs w:val="20"/>
        </w:rPr>
        <w:t>burnout</w:t>
      </w:r>
      <w:proofErr w:type="spellEnd"/>
      <w:r w:rsidR="002F2E68" w:rsidRPr="00C4026F">
        <w:rPr>
          <w:rFonts w:ascii="Palatino Linotype" w:hAnsi="Palatino Linotype" w:cs="Times New Roman"/>
          <w:sz w:val="20"/>
          <w:szCs w:val="20"/>
        </w:rPr>
        <w:t xml:space="preserve">: </w:t>
      </w:r>
      <w:proofErr w:type="spellStart"/>
      <w:r w:rsidR="002F2E68" w:rsidRPr="00C4026F">
        <w:rPr>
          <w:rFonts w:ascii="Palatino Linotype" w:hAnsi="Palatino Linotype" w:cs="Times New Roman"/>
          <w:sz w:val="20"/>
          <w:szCs w:val="20"/>
        </w:rPr>
        <w:t>T</w:t>
      </w:r>
      <w:r w:rsidRPr="00C4026F">
        <w:rPr>
          <w:rFonts w:ascii="Palatino Linotype" w:hAnsi="Palatino Linotype" w:cs="Times New Roman"/>
          <w:sz w:val="20"/>
          <w:szCs w:val="20"/>
        </w:rPr>
        <w:t>heir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correlation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Australian</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Teacher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Education</w:t>
      </w:r>
      <w:proofErr w:type="spellEnd"/>
      <w:r w:rsidRPr="00D21DC4">
        <w:rPr>
          <w:rFonts w:ascii="Palatino Linotype" w:hAnsi="Palatino Linotype" w:cs="Times New Roman"/>
          <w:i/>
          <w:sz w:val="20"/>
          <w:szCs w:val="20"/>
        </w:rPr>
        <w:t>, 36</w:t>
      </w:r>
      <w:r w:rsidRPr="00C4026F">
        <w:rPr>
          <w:rFonts w:ascii="Palatino Linotype" w:hAnsi="Palatino Linotype" w:cs="Times New Roman"/>
          <w:sz w:val="20"/>
          <w:szCs w:val="20"/>
        </w:rPr>
        <w:t xml:space="preserve">(4), 84-94.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Baş, G. (2012). İlköğretim öğrencilerinde tükenmişlik: Farklı değişkenler açısından bir değerlendirme.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Europan</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Education</w:t>
      </w:r>
      <w:proofErr w:type="spellEnd"/>
      <w:r w:rsidRPr="00B430BB">
        <w:rPr>
          <w:rFonts w:ascii="Palatino Linotype" w:hAnsi="Palatino Linotype" w:cs="Times New Roman"/>
          <w:i/>
          <w:sz w:val="20"/>
          <w:szCs w:val="20"/>
        </w:rPr>
        <w:t>, 2</w:t>
      </w:r>
      <w:r w:rsidRPr="00C4026F">
        <w:rPr>
          <w:rFonts w:ascii="Palatino Linotype" w:hAnsi="Palatino Linotype" w:cs="Times New Roman"/>
          <w:sz w:val="20"/>
          <w:szCs w:val="20"/>
        </w:rPr>
        <w:t xml:space="preserve">(2), 31-46.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Bayram, N. (2009). </w:t>
      </w:r>
      <w:r w:rsidRPr="00C4026F">
        <w:rPr>
          <w:rFonts w:ascii="Palatino Linotype" w:hAnsi="Palatino Linotype" w:cs="Times New Roman"/>
          <w:i/>
          <w:sz w:val="20"/>
          <w:szCs w:val="20"/>
        </w:rPr>
        <w:t>Sosyal bilimlerde SPSS ile veri analizi</w:t>
      </w:r>
      <w:r w:rsidRPr="00C4026F">
        <w:rPr>
          <w:rFonts w:ascii="Palatino Linotype" w:hAnsi="Palatino Linotype" w:cs="Times New Roman"/>
          <w:sz w:val="20"/>
          <w:szCs w:val="20"/>
        </w:rPr>
        <w:t>. Bursa: Ezgi Kitabevi.</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Bray</w:t>
      </w:r>
      <w:proofErr w:type="spellEnd"/>
      <w:r w:rsidRPr="00C4026F">
        <w:rPr>
          <w:rFonts w:ascii="Palatino Linotype" w:hAnsi="Palatino Linotype" w:cs="Times New Roman"/>
          <w:sz w:val="20"/>
          <w:szCs w:val="20"/>
        </w:rPr>
        <w:t>, J.</w:t>
      </w:r>
      <w:r w:rsidR="008E711E">
        <w:rPr>
          <w:rFonts w:ascii="Palatino Linotype" w:hAnsi="Palatino Linotype" w:cs="Times New Roman"/>
          <w:sz w:val="20"/>
          <w:szCs w:val="20"/>
        </w:rPr>
        <w:t xml:space="preserve"> </w:t>
      </w:r>
      <w:r w:rsidRPr="00C4026F">
        <w:rPr>
          <w:rFonts w:ascii="Palatino Linotype" w:hAnsi="Palatino Linotype" w:cs="Times New Roman"/>
          <w:sz w:val="20"/>
          <w:szCs w:val="20"/>
        </w:rPr>
        <w:t>H</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Maxwell</w:t>
      </w:r>
      <w:proofErr w:type="spellEnd"/>
      <w:r w:rsidRPr="00C4026F">
        <w:rPr>
          <w:rFonts w:ascii="Palatino Linotype" w:hAnsi="Palatino Linotype" w:cs="Times New Roman"/>
          <w:sz w:val="20"/>
          <w:szCs w:val="20"/>
        </w:rPr>
        <w:t>, S.</w:t>
      </w:r>
      <w:r w:rsidR="008E711E">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E. (1982). </w:t>
      </w:r>
      <w:proofErr w:type="spellStart"/>
      <w:r w:rsidRPr="00C4026F">
        <w:rPr>
          <w:rFonts w:ascii="Palatino Linotype" w:hAnsi="Palatino Linotype" w:cs="Times New Roman"/>
          <w:sz w:val="20"/>
          <w:szCs w:val="20"/>
        </w:rPr>
        <w:t>Analyzing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interpreting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significant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MANOVAs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Review</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Educational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Research</w:t>
      </w:r>
      <w:proofErr w:type="spellEnd"/>
      <w:r w:rsidRPr="004333D2">
        <w:rPr>
          <w:rFonts w:ascii="Palatino Linotype" w:hAnsi="Palatino Linotype" w:cs="Times New Roman"/>
          <w:i/>
          <w:sz w:val="20"/>
          <w:szCs w:val="20"/>
        </w:rPr>
        <w:t>, 52</w:t>
      </w:r>
      <w:r w:rsidRPr="00C4026F">
        <w:rPr>
          <w:rFonts w:ascii="Palatino Linotype" w:hAnsi="Palatino Linotype" w:cs="Times New Roman"/>
          <w:sz w:val="20"/>
          <w:szCs w:val="20"/>
        </w:rPr>
        <w:t>(3), 340-367.</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Brookhart</w:t>
      </w:r>
      <w:proofErr w:type="spellEnd"/>
      <w:r w:rsidRPr="00C4026F">
        <w:rPr>
          <w:rFonts w:ascii="Palatino Linotype" w:hAnsi="Palatino Linotype" w:cs="Times New Roman"/>
          <w:sz w:val="20"/>
          <w:szCs w:val="20"/>
        </w:rPr>
        <w:t>, S.</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M</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DeVoge</w:t>
      </w:r>
      <w:proofErr w:type="spellEnd"/>
      <w:r w:rsidRPr="00C4026F">
        <w:rPr>
          <w:rFonts w:ascii="Palatino Linotype" w:hAnsi="Palatino Linotype" w:cs="Times New Roman"/>
          <w:sz w:val="20"/>
          <w:szCs w:val="20"/>
        </w:rPr>
        <w:t>, J.</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G. (1999) </w:t>
      </w:r>
      <w:proofErr w:type="spellStart"/>
      <w:r w:rsidRPr="00C4026F">
        <w:rPr>
          <w:rFonts w:ascii="Palatino Linotype" w:hAnsi="Palatino Linotype" w:cs="Times New Roman"/>
          <w:sz w:val="20"/>
          <w:szCs w:val="20"/>
        </w:rPr>
        <w:t>Testing</w:t>
      </w:r>
      <w:proofErr w:type="spellEnd"/>
      <w:r w:rsidRPr="00C4026F">
        <w:rPr>
          <w:rFonts w:ascii="Palatino Linotype" w:hAnsi="Palatino Linotype" w:cs="Times New Roman"/>
          <w:sz w:val="20"/>
          <w:szCs w:val="20"/>
        </w:rPr>
        <w:t xml:space="preserve"> a </w:t>
      </w:r>
      <w:proofErr w:type="spellStart"/>
      <w:r w:rsidRPr="00C4026F">
        <w:rPr>
          <w:rFonts w:ascii="Palatino Linotype" w:hAnsi="Palatino Linotype" w:cs="Times New Roman"/>
          <w:sz w:val="20"/>
          <w:szCs w:val="20"/>
        </w:rPr>
        <w:t>theory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about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role of </w:t>
      </w:r>
      <w:proofErr w:type="spellStart"/>
      <w:r w:rsidRPr="00C4026F">
        <w:rPr>
          <w:rFonts w:ascii="Palatino Linotype" w:hAnsi="Palatino Linotype" w:cs="Times New Roman"/>
          <w:sz w:val="20"/>
          <w:szCs w:val="20"/>
        </w:rPr>
        <w:t>classroom</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assessment</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student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motivation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achievement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Applied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Measurement</w:t>
      </w:r>
      <w:proofErr w:type="spellEnd"/>
      <w:r w:rsidRPr="00C4026F">
        <w:rPr>
          <w:rFonts w:ascii="Palatino Linotype" w:hAnsi="Palatino Linotype" w:cs="Times New Roman"/>
          <w:i/>
          <w:sz w:val="20"/>
          <w:szCs w:val="20"/>
        </w:rPr>
        <w:t xml:space="preserve"> in </w:t>
      </w:r>
      <w:proofErr w:type="spellStart"/>
      <w:r w:rsidRPr="00C4026F">
        <w:rPr>
          <w:rFonts w:ascii="Palatino Linotype" w:hAnsi="Palatino Linotype" w:cs="Times New Roman"/>
          <w:i/>
          <w:sz w:val="20"/>
          <w:szCs w:val="20"/>
        </w:rPr>
        <w:t>Education</w:t>
      </w:r>
      <w:proofErr w:type="spellEnd"/>
      <w:r w:rsidRPr="00C767FF">
        <w:rPr>
          <w:rFonts w:ascii="Palatino Linotype" w:hAnsi="Palatino Linotype" w:cs="Times New Roman"/>
          <w:i/>
          <w:sz w:val="20"/>
          <w:szCs w:val="20"/>
        </w:rPr>
        <w:t>, 12</w:t>
      </w:r>
      <w:r w:rsidRPr="00C4026F">
        <w:rPr>
          <w:rFonts w:ascii="Palatino Linotype" w:hAnsi="Palatino Linotype" w:cs="Times New Roman"/>
          <w:sz w:val="20"/>
          <w:szCs w:val="20"/>
        </w:rPr>
        <w:t>(4), 409-425.</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Brookhart</w:t>
      </w:r>
      <w:proofErr w:type="spellEnd"/>
      <w:r w:rsidRPr="00C4026F">
        <w:rPr>
          <w:rFonts w:ascii="Palatino Linotype" w:hAnsi="Palatino Linotype" w:cs="Times New Roman"/>
          <w:sz w:val="20"/>
          <w:szCs w:val="20"/>
        </w:rPr>
        <w:t>, S.</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M</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Walsh</w:t>
      </w:r>
      <w:proofErr w:type="spellEnd"/>
      <w:r w:rsidRPr="00C4026F">
        <w:rPr>
          <w:rFonts w:ascii="Palatino Linotype" w:hAnsi="Palatino Linotype" w:cs="Times New Roman"/>
          <w:sz w:val="20"/>
          <w:szCs w:val="20"/>
        </w:rPr>
        <w:t>, J.</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M</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Zientarski</w:t>
      </w:r>
      <w:proofErr w:type="spellEnd"/>
      <w:r w:rsidRPr="00C4026F">
        <w:rPr>
          <w:rFonts w:ascii="Palatino Linotype" w:hAnsi="Palatino Linotype" w:cs="Times New Roman"/>
          <w:sz w:val="20"/>
          <w:szCs w:val="20"/>
        </w:rPr>
        <w:t>, W.</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A. (2006).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dynamics</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motivation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effort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for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classroom</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assessments</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middle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school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science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social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studies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Applied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Measurement</w:t>
      </w:r>
      <w:proofErr w:type="spellEnd"/>
      <w:r w:rsidRPr="00C4026F">
        <w:rPr>
          <w:rFonts w:ascii="Palatino Linotype" w:hAnsi="Palatino Linotype" w:cs="Times New Roman"/>
          <w:i/>
          <w:sz w:val="20"/>
          <w:szCs w:val="20"/>
        </w:rPr>
        <w:t xml:space="preserve"> in </w:t>
      </w:r>
      <w:proofErr w:type="spellStart"/>
      <w:r w:rsidRPr="00C4026F">
        <w:rPr>
          <w:rFonts w:ascii="Palatino Linotype" w:hAnsi="Palatino Linotype" w:cs="Times New Roman"/>
          <w:i/>
          <w:sz w:val="20"/>
          <w:szCs w:val="20"/>
        </w:rPr>
        <w:t>Education</w:t>
      </w:r>
      <w:proofErr w:type="spellEnd"/>
      <w:r w:rsidRPr="00EF5794">
        <w:rPr>
          <w:rFonts w:ascii="Palatino Linotype" w:hAnsi="Palatino Linotype" w:cs="Times New Roman"/>
          <w:i/>
          <w:sz w:val="20"/>
          <w:szCs w:val="20"/>
        </w:rPr>
        <w:t>, 19</w:t>
      </w:r>
      <w:r w:rsidRPr="00C4026F">
        <w:rPr>
          <w:rFonts w:ascii="Palatino Linotype" w:hAnsi="Palatino Linotype" w:cs="Times New Roman"/>
          <w:sz w:val="20"/>
          <w:szCs w:val="20"/>
        </w:rPr>
        <w:t>(2), 151-184.</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Büyüköztürk, Ş. (2010). </w:t>
      </w:r>
      <w:r w:rsidRPr="00C4026F">
        <w:rPr>
          <w:rFonts w:ascii="Palatino Linotype" w:hAnsi="Palatino Linotype" w:cs="Times New Roman"/>
          <w:i/>
          <w:sz w:val="20"/>
          <w:szCs w:val="20"/>
        </w:rPr>
        <w:t>Sosyal bilimler için veri analizi el kitabı</w:t>
      </w:r>
      <w:r w:rsidRPr="00C4026F">
        <w:rPr>
          <w:rFonts w:ascii="Palatino Linotype" w:hAnsi="Palatino Linotype" w:cs="Times New Roman"/>
          <w:sz w:val="20"/>
          <w:szCs w:val="20"/>
        </w:rPr>
        <w:t>. Ankara: Pegem Akademi Yayınları.</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lastRenderedPageBreak/>
        <w:t>Büyüköztürk, Ş</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Kılıç Çakmak, E., Erkan Akgün, Ö., Karadeniz, Ş</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Demirel, F. (2010). </w:t>
      </w:r>
      <w:r w:rsidRPr="00C4026F">
        <w:rPr>
          <w:rFonts w:ascii="Palatino Linotype" w:hAnsi="Palatino Linotype" w:cs="Times New Roman"/>
          <w:i/>
          <w:sz w:val="20"/>
          <w:szCs w:val="20"/>
        </w:rPr>
        <w:t>Bilimsel araştırma yöntemleri</w:t>
      </w:r>
      <w:r w:rsidRPr="00C4026F">
        <w:rPr>
          <w:rFonts w:ascii="Palatino Linotype" w:hAnsi="Palatino Linotype" w:cs="Times New Roman"/>
          <w:sz w:val="20"/>
          <w:szCs w:val="20"/>
        </w:rPr>
        <w:t xml:space="preserve">. Ankara: Pegem Akademi Yayınları.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Budak, G</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Sürgevil</w:t>
      </w:r>
      <w:proofErr w:type="spellEnd"/>
      <w:r w:rsidRPr="00C4026F">
        <w:rPr>
          <w:rFonts w:ascii="Palatino Linotype" w:hAnsi="Palatino Linotype" w:cs="Times New Roman"/>
          <w:sz w:val="20"/>
          <w:szCs w:val="20"/>
        </w:rPr>
        <w:t xml:space="preserve">, O. (2005). Tükenmişlik ve tükenmişliği etkileyen örgütsel faktörlerin analizine ilişkin akademik personel üzerinde bir uygulama. </w:t>
      </w:r>
      <w:r w:rsidRPr="00C4026F">
        <w:rPr>
          <w:rFonts w:ascii="Palatino Linotype" w:hAnsi="Palatino Linotype" w:cs="Times New Roman"/>
          <w:i/>
          <w:sz w:val="20"/>
          <w:szCs w:val="20"/>
        </w:rPr>
        <w:t>Dokuz Eylül Üniversitesi İktisadi ve İdari Bilimler Fakültesi Dergisi</w:t>
      </w:r>
      <w:r w:rsidRPr="004E170E">
        <w:rPr>
          <w:rFonts w:ascii="Palatino Linotype" w:hAnsi="Palatino Linotype" w:cs="Times New Roman"/>
          <w:i/>
          <w:sz w:val="20"/>
          <w:szCs w:val="20"/>
        </w:rPr>
        <w:t>, 20</w:t>
      </w:r>
      <w:r w:rsidRPr="00C4026F">
        <w:rPr>
          <w:rFonts w:ascii="Palatino Linotype" w:hAnsi="Palatino Linotype" w:cs="Times New Roman"/>
          <w:sz w:val="20"/>
          <w:szCs w:val="20"/>
        </w:rPr>
        <w:t xml:space="preserve">(2), 95-108.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Charkhabi</w:t>
      </w:r>
      <w:proofErr w:type="spellEnd"/>
      <w:r w:rsidRPr="00C4026F">
        <w:rPr>
          <w:rFonts w:ascii="Palatino Linotype" w:hAnsi="Palatino Linotype" w:cs="Times New Roman"/>
          <w:sz w:val="20"/>
          <w:szCs w:val="20"/>
        </w:rPr>
        <w:t>, M</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Abarghuei</w:t>
      </w:r>
      <w:proofErr w:type="spellEnd"/>
      <w:r w:rsidRPr="00C4026F">
        <w:rPr>
          <w:rFonts w:ascii="Palatino Linotype" w:hAnsi="Palatino Linotype" w:cs="Times New Roman"/>
          <w:sz w:val="20"/>
          <w:szCs w:val="20"/>
        </w:rPr>
        <w:t>, M.</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A</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Hayati, D. (2013).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association</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with</w:t>
      </w:r>
      <w:proofErr w:type="spellEnd"/>
      <w:r w:rsidRPr="00C4026F">
        <w:rPr>
          <w:rFonts w:ascii="Palatino Linotype" w:hAnsi="Palatino Linotype" w:cs="Times New Roman"/>
          <w:sz w:val="20"/>
          <w:szCs w:val="20"/>
        </w:rPr>
        <w:t xml:space="preserve"> self-</w:t>
      </w:r>
      <w:proofErr w:type="spellStart"/>
      <w:r w:rsidRPr="00C4026F">
        <w:rPr>
          <w:rFonts w:ascii="Palatino Linotype" w:hAnsi="Palatino Linotype" w:cs="Times New Roman"/>
          <w:sz w:val="20"/>
          <w:szCs w:val="20"/>
        </w:rPr>
        <w:t>efficacy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quality</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learning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experience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among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Iranian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Springerplus</w:t>
      </w:r>
      <w:proofErr w:type="spellEnd"/>
      <w:r w:rsidRPr="00C4026F">
        <w:rPr>
          <w:rFonts w:ascii="Palatino Linotype" w:hAnsi="Palatino Linotype" w:cs="Times New Roman"/>
          <w:sz w:val="20"/>
          <w:szCs w:val="20"/>
        </w:rPr>
        <w:t xml:space="preserve">, </w:t>
      </w:r>
      <w:proofErr w:type="gramStart"/>
      <w:r w:rsidRPr="00C4026F">
        <w:rPr>
          <w:rFonts w:ascii="Palatino Linotype" w:hAnsi="Palatino Linotype" w:cs="Times New Roman"/>
          <w:sz w:val="20"/>
          <w:szCs w:val="20"/>
        </w:rPr>
        <w:t>2:677</w:t>
      </w:r>
      <w:proofErr w:type="gramEnd"/>
      <w:r w:rsidRPr="00C4026F">
        <w:rPr>
          <w:rFonts w:ascii="Palatino Linotype" w:hAnsi="Palatino Linotype" w:cs="Times New Roman"/>
          <w:sz w:val="20"/>
          <w:szCs w:val="20"/>
        </w:rPr>
        <w:t>.</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Costello</w:t>
      </w:r>
      <w:proofErr w:type="spellEnd"/>
      <w:r w:rsidRPr="00C4026F">
        <w:rPr>
          <w:rFonts w:ascii="Palatino Linotype" w:hAnsi="Palatino Linotype" w:cs="Times New Roman"/>
          <w:sz w:val="20"/>
          <w:szCs w:val="20"/>
        </w:rPr>
        <w:t>, A.</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B</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Osborne</w:t>
      </w:r>
      <w:proofErr w:type="spellEnd"/>
      <w:r w:rsidRPr="00C4026F">
        <w:rPr>
          <w:rFonts w:ascii="Palatino Linotype" w:hAnsi="Palatino Linotype" w:cs="Times New Roman"/>
          <w:sz w:val="20"/>
          <w:szCs w:val="20"/>
        </w:rPr>
        <w:t>, J.</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W. (2005). Best </w:t>
      </w:r>
      <w:proofErr w:type="spellStart"/>
      <w:r w:rsidRPr="00C4026F">
        <w:rPr>
          <w:rFonts w:ascii="Palatino Linotype" w:hAnsi="Palatino Linotype" w:cs="Times New Roman"/>
          <w:sz w:val="20"/>
          <w:szCs w:val="20"/>
        </w:rPr>
        <w:t>practices</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exploratory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factor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analysis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Four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recommendations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for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getting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most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from</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your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analysis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Practical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Assessment</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Research</w:t>
      </w:r>
      <w:proofErr w:type="spellEnd"/>
      <w:r w:rsidRPr="00C4026F">
        <w:rPr>
          <w:rFonts w:ascii="Palatino Linotype" w:hAnsi="Palatino Linotype" w:cs="Times New Roman"/>
          <w:i/>
          <w:sz w:val="20"/>
          <w:szCs w:val="20"/>
        </w:rPr>
        <w:t xml:space="preserve"> &amp; Evaluation</w:t>
      </w:r>
      <w:r w:rsidRPr="00821395">
        <w:rPr>
          <w:rFonts w:ascii="Palatino Linotype" w:hAnsi="Palatino Linotype" w:cs="Times New Roman"/>
          <w:i/>
          <w:sz w:val="20"/>
          <w:szCs w:val="20"/>
        </w:rPr>
        <w:t>, 10</w:t>
      </w:r>
      <w:r w:rsidRPr="00C4026F">
        <w:rPr>
          <w:rFonts w:ascii="Palatino Linotype" w:hAnsi="Palatino Linotype" w:cs="Times New Roman"/>
          <w:sz w:val="20"/>
          <w:szCs w:val="20"/>
        </w:rPr>
        <w:t>(7), 1-9.</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Çapri</w:t>
      </w:r>
      <w:proofErr w:type="spellEnd"/>
      <w:r w:rsidRPr="00C4026F">
        <w:rPr>
          <w:rFonts w:ascii="Palatino Linotype" w:hAnsi="Palatino Linotype" w:cs="Times New Roman"/>
          <w:sz w:val="20"/>
          <w:szCs w:val="20"/>
        </w:rPr>
        <w:t>, B</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Gündüz, B</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Gökçakan</w:t>
      </w:r>
      <w:proofErr w:type="spellEnd"/>
      <w:r w:rsidRPr="00C4026F">
        <w:rPr>
          <w:rFonts w:ascii="Palatino Linotype" w:hAnsi="Palatino Linotype" w:cs="Times New Roman"/>
          <w:sz w:val="20"/>
          <w:szCs w:val="20"/>
        </w:rPr>
        <w:t xml:space="preserve">, Z. (2011). </w:t>
      </w:r>
      <w:proofErr w:type="spellStart"/>
      <w:r w:rsidRPr="00C4026F">
        <w:rPr>
          <w:rFonts w:ascii="Palatino Linotype" w:hAnsi="Palatino Linotype" w:cs="Times New Roman"/>
          <w:sz w:val="20"/>
          <w:szCs w:val="20"/>
        </w:rPr>
        <w:t>Maslach</w:t>
      </w:r>
      <w:proofErr w:type="spellEnd"/>
      <w:r w:rsidRPr="00C4026F">
        <w:rPr>
          <w:rFonts w:ascii="Palatino Linotype" w:hAnsi="Palatino Linotype" w:cs="Times New Roman"/>
          <w:sz w:val="20"/>
          <w:szCs w:val="20"/>
        </w:rPr>
        <w:t xml:space="preserve"> tükenmişlik </w:t>
      </w:r>
      <w:proofErr w:type="gramStart"/>
      <w:r w:rsidRPr="00C4026F">
        <w:rPr>
          <w:rFonts w:ascii="Palatino Linotype" w:hAnsi="Palatino Linotype" w:cs="Times New Roman"/>
          <w:sz w:val="20"/>
          <w:szCs w:val="20"/>
        </w:rPr>
        <w:t>envanteri</w:t>
      </w:r>
      <w:proofErr w:type="gramEnd"/>
      <w:r w:rsidRPr="00C4026F">
        <w:rPr>
          <w:rFonts w:ascii="Palatino Linotype" w:hAnsi="Palatino Linotype" w:cs="Times New Roman"/>
          <w:sz w:val="20"/>
          <w:szCs w:val="20"/>
        </w:rPr>
        <w:t xml:space="preserve">-öğrenci formunun (MTE-ÖF) Türkçe’ye uyarlaması: Geçerlik ve güvenirlik çalışması. </w:t>
      </w:r>
      <w:r w:rsidRPr="00C4026F">
        <w:rPr>
          <w:rFonts w:ascii="Palatino Linotype" w:hAnsi="Palatino Linotype" w:cs="Times New Roman"/>
          <w:i/>
          <w:sz w:val="20"/>
          <w:szCs w:val="20"/>
        </w:rPr>
        <w:t>Çukurova Üniversitesi Eğitim Fakültesi Dergisi</w:t>
      </w:r>
      <w:r w:rsidRPr="00101AC7">
        <w:rPr>
          <w:rFonts w:ascii="Palatino Linotype" w:hAnsi="Palatino Linotype" w:cs="Times New Roman"/>
          <w:i/>
          <w:sz w:val="20"/>
          <w:szCs w:val="20"/>
        </w:rPr>
        <w:t>, 1</w:t>
      </w:r>
      <w:r w:rsidRPr="00C4026F">
        <w:rPr>
          <w:rFonts w:ascii="Palatino Linotype" w:hAnsi="Palatino Linotype" w:cs="Times New Roman"/>
          <w:sz w:val="20"/>
          <w:szCs w:val="20"/>
        </w:rPr>
        <w:t xml:space="preserve">(40), 134-147.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Çapri</w:t>
      </w:r>
      <w:proofErr w:type="spellEnd"/>
      <w:r w:rsidRPr="00C4026F">
        <w:rPr>
          <w:rFonts w:ascii="Palatino Linotype" w:hAnsi="Palatino Linotype" w:cs="Times New Roman"/>
          <w:sz w:val="20"/>
          <w:szCs w:val="20"/>
        </w:rPr>
        <w:t>, B</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Yedigöz</w:t>
      </w:r>
      <w:proofErr w:type="spellEnd"/>
      <w:r w:rsidRPr="00C4026F">
        <w:rPr>
          <w:rFonts w:ascii="Palatino Linotype" w:hAnsi="Palatino Linotype" w:cs="Times New Roman"/>
          <w:sz w:val="20"/>
          <w:szCs w:val="20"/>
        </w:rPr>
        <w:t xml:space="preserve"> Sönmez, G. (2013). Lise öğrencilerinin tükenmişlik puanlarının sosyo-demografik değişkenler, psikolojik belirtiler ve bağlanma stilleri açısından incelenmesi. </w:t>
      </w:r>
      <w:r w:rsidRPr="00C4026F">
        <w:rPr>
          <w:rFonts w:ascii="Palatino Linotype" w:hAnsi="Palatino Linotype" w:cs="Times New Roman"/>
          <w:i/>
          <w:sz w:val="20"/>
          <w:szCs w:val="20"/>
        </w:rPr>
        <w:t>Uluslararası İnsan Bilimleri Dergisi</w:t>
      </w:r>
      <w:r w:rsidRPr="00E00EBF">
        <w:rPr>
          <w:rFonts w:ascii="Palatino Linotype" w:hAnsi="Palatino Linotype" w:cs="Times New Roman"/>
          <w:i/>
          <w:sz w:val="20"/>
          <w:szCs w:val="20"/>
        </w:rPr>
        <w:t>, 10</w:t>
      </w:r>
      <w:r w:rsidRPr="00C4026F">
        <w:rPr>
          <w:rFonts w:ascii="Palatino Linotype" w:hAnsi="Palatino Linotype" w:cs="Times New Roman"/>
          <w:sz w:val="20"/>
          <w:szCs w:val="20"/>
        </w:rPr>
        <w:t>(2), 195-218.</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Çapulcuoğlu</w:t>
      </w:r>
      <w:proofErr w:type="spellEnd"/>
      <w:r w:rsidRPr="00C4026F">
        <w:rPr>
          <w:rFonts w:ascii="Palatino Linotype" w:hAnsi="Palatino Linotype" w:cs="Times New Roman"/>
          <w:sz w:val="20"/>
          <w:szCs w:val="20"/>
        </w:rPr>
        <w:t>, U</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Gündüz, B. (2013). Öğrenci tükenmişliğini </w:t>
      </w:r>
      <w:proofErr w:type="spellStart"/>
      <w:r w:rsidRPr="00C4026F">
        <w:rPr>
          <w:rFonts w:ascii="Palatino Linotype" w:hAnsi="Palatino Linotype" w:cs="Times New Roman"/>
          <w:sz w:val="20"/>
          <w:szCs w:val="20"/>
        </w:rPr>
        <w:t>yordamada</w:t>
      </w:r>
      <w:proofErr w:type="spellEnd"/>
      <w:r w:rsidRPr="00C4026F">
        <w:rPr>
          <w:rFonts w:ascii="Palatino Linotype" w:hAnsi="Palatino Linotype" w:cs="Times New Roman"/>
          <w:sz w:val="20"/>
          <w:szCs w:val="20"/>
        </w:rPr>
        <w:t xml:space="preserve"> stresle başa çıkma, sınav kaygısı, akademik yetkinlik ve anne-baba tutumları. </w:t>
      </w:r>
      <w:r w:rsidRPr="00C4026F">
        <w:rPr>
          <w:rFonts w:ascii="Palatino Linotype" w:hAnsi="Palatino Linotype" w:cs="Times New Roman"/>
          <w:i/>
          <w:sz w:val="20"/>
          <w:szCs w:val="20"/>
        </w:rPr>
        <w:t>Eğitim Bilimleri Araştırmaları Dergisi</w:t>
      </w:r>
      <w:r w:rsidRPr="00B02B8F">
        <w:rPr>
          <w:rFonts w:ascii="Palatino Linotype" w:hAnsi="Palatino Linotype" w:cs="Times New Roman"/>
          <w:i/>
          <w:sz w:val="20"/>
          <w:szCs w:val="20"/>
        </w:rPr>
        <w:t>, 3</w:t>
      </w:r>
      <w:r w:rsidRPr="00C4026F">
        <w:rPr>
          <w:rFonts w:ascii="Palatino Linotype" w:hAnsi="Palatino Linotype" w:cs="Times New Roman"/>
          <w:sz w:val="20"/>
          <w:szCs w:val="20"/>
        </w:rPr>
        <w:t>(1), 201-218.</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Çokluk, Ö</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Şekercioğlu, G</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Büyüköztürk, Ş. (2012). </w:t>
      </w:r>
      <w:r w:rsidRPr="00C4026F">
        <w:rPr>
          <w:rFonts w:ascii="Palatino Linotype" w:hAnsi="Palatino Linotype" w:cs="Times New Roman"/>
          <w:i/>
          <w:sz w:val="20"/>
          <w:szCs w:val="20"/>
        </w:rPr>
        <w:t>Sosyal bilimler için çok değişkenli istatistik: SPSS ve LISREL uygulamaları</w:t>
      </w:r>
      <w:r w:rsidRPr="00C4026F">
        <w:rPr>
          <w:rFonts w:ascii="Palatino Linotype" w:hAnsi="Palatino Linotype" w:cs="Times New Roman"/>
          <w:sz w:val="20"/>
          <w:szCs w:val="20"/>
        </w:rPr>
        <w:t>. Ankara: Pegem Akademi Yayıncılık.</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Erkuş, A. (2012). </w:t>
      </w:r>
      <w:r w:rsidRPr="00C4026F">
        <w:rPr>
          <w:rFonts w:ascii="Palatino Linotype" w:hAnsi="Palatino Linotype" w:cs="Times New Roman"/>
          <w:i/>
          <w:sz w:val="20"/>
          <w:szCs w:val="20"/>
        </w:rPr>
        <w:t>Psikolojide ölçme ve ölçek geliştirme</w:t>
      </w:r>
      <w:r w:rsidRPr="00C4026F">
        <w:rPr>
          <w:rFonts w:ascii="Palatino Linotype" w:hAnsi="Palatino Linotype" w:cs="Times New Roman"/>
          <w:sz w:val="20"/>
          <w:szCs w:val="20"/>
        </w:rPr>
        <w:t>. Ankara: Pegem Akademi Yayınları.</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Field</w:t>
      </w:r>
      <w:proofErr w:type="spellEnd"/>
      <w:r w:rsidRPr="00C4026F">
        <w:rPr>
          <w:rFonts w:ascii="Palatino Linotype" w:hAnsi="Palatino Linotype" w:cs="Times New Roman"/>
          <w:sz w:val="20"/>
          <w:szCs w:val="20"/>
        </w:rPr>
        <w:t xml:space="preserve">, A. (2009). </w:t>
      </w:r>
      <w:proofErr w:type="spellStart"/>
      <w:r w:rsidRPr="00C4026F">
        <w:rPr>
          <w:rFonts w:ascii="Palatino Linotype" w:hAnsi="Palatino Linotype" w:cs="Times New Roman"/>
          <w:i/>
          <w:sz w:val="20"/>
          <w:szCs w:val="20"/>
        </w:rPr>
        <w:t>Discovering</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statics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using</w:t>
      </w:r>
      <w:proofErr w:type="spellEnd"/>
      <w:r w:rsidRPr="00C4026F">
        <w:rPr>
          <w:rFonts w:ascii="Palatino Linotype" w:hAnsi="Palatino Linotype" w:cs="Times New Roman"/>
          <w:i/>
          <w:sz w:val="20"/>
          <w:szCs w:val="20"/>
        </w:rPr>
        <w:t xml:space="preserve"> SPSS</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London</w:t>
      </w:r>
      <w:proofErr w:type="spellEnd"/>
      <w:r w:rsidRPr="00C4026F">
        <w:rPr>
          <w:rFonts w:ascii="Palatino Linotype" w:hAnsi="Palatino Linotype" w:cs="Times New Roman"/>
          <w:sz w:val="20"/>
          <w:szCs w:val="20"/>
        </w:rPr>
        <w:t>: SAGE Publications Ltd.</w:t>
      </w:r>
    </w:p>
    <w:p w:rsidR="00FF02D4" w:rsidRPr="00C4026F" w:rsidRDefault="00FF02D4" w:rsidP="00097D34">
      <w:pPr>
        <w:spacing w:after="60" w:line="240" w:lineRule="auto"/>
        <w:ind w:left="426" w:hanging="426"/>
        <w:jc w:val="both"/>
        <w:rPr>
          <w:rFonts w:ascii="Palatino Linotype" w:hAnsi="Palatino Linotype" w:cs="Times New Roman"/>
          <w:sz w:val="20"/>
          <w:szCs w:val="20"/>
          <w:lang w:val="en-US"/>
        </w:rPr>
      </w:pPr>
      <w:proofErr w:type="spellStart"/>
      <w:r w:rsidRPr="00C4026F">
        <w:rPr>
          <w:rFonts w:ascii="Palatino Linotype" w:hAnsi="Palatino Linotype" w:cs="Times New Roman"/>
          <w:sz w:val="20"/>
          <w:szCs w:val="20"/>
        </w:rPr>
        <w:t>Frankel</w:t>
      </w:r>
      <w:proofErr w:type="spellEnd"/>
      <w:r w:rsidRPr="00C4026F">
        <w:rPr>
          <w:rFonts w:ascii="Palatino Linotype" w:hAnsi="Palatino Linotype" w:cs="Times New Roman"/>
          <w:sz w:val="20"/>
          <w:szCs w:val="20"/>
        </w:rPr>
        <w:t>, J.</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R</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Wallen</w:t>
      </w:r>
      <w:proofErr w:type="spellEnd"/>
      <w:r w:rsidRPr="00C4026F">
        <w:rPr>
          <w:rFonts w:ascii="Palatino Linotype" w:hAnsi="Palatino Linotype" w:cs="Times New Roman"/>
          <w:sz w:val="20"/>
          <w:szCs w:val="20"/>
        </w:rPr>
        <w:t>, N.</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E. (2006). </w:t>
      </w:r>
      <w:r w:rsidRPr="00C4026F">
        <w:rPr>
          <w:rFonts w:ascii="Palatino Linotype" w:hAnsi="Palatino Linotype" w:cs="Times New Roman"/>
          <w:i/>
          <w:sz w:val="20"/>
          <w:szCs w:val="20"/>
          <w:lang w:val="en-US"/>
        </w:rPr>
        <w:t xml:space="preserve">How to Design and Evaluate Research in Education. </w:t>
      </w:r>
      <w:r w:rsidRPr="00C4026F">
        <w:rPr>
          <w:rFonts w:ascii="Palatino Linotype" w:hAnsi="Palatino Linotype" w:cs="Times New Roman"/>
          <w:sz w:val="20"/>
          <w:szCs w:val="20"/>
          <w:lang w:val="en-US"/>
        </w:rPr>
        <w:t>New York: McGraw-Hill.</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Gan</w:t>
      </w:r>
      <w:proofErr w:type="spellEnd"/>
      <w:r w:rsidRPr="00C4026F">
        <w:rPr>
          <w:rFonts w:ascii="Palatino Linotype" w:hAnsi="Palatino Linotype" w:cs="Times New Roman"/>
          <w:sz w:val="20"/>
          <w:szCs w:val="20"/>
        </w:rPr>
        <w:t>, Y</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Shang</w:t>
      </w:r>
      <w:proofErr w:type="spellEnd"/>
      <w:r w:rsidRPr="00C4026F">
        <w:rPr>
          <w:rFonts w:ascii="Palatino Linotype" w:hAnsi="Palatino Linotype" w:cs="Times New Roman"/>
          <w:sz w:val="20"/>
          <w:szCs w:val="20"/>
        </w:rPr>
        <w:t>, J</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Zhang</w:t>
      </w:r>
      <w:proofErr w:type="spellEnd"/>
      <w:r w:rsidRPr="00C4026F">
        <w:rPr>
          <w:rFonts w:ascii="Palatino Linotype" w:hAnsi="Palatino Linotype" w:cs="Times New Roman"/>
          <w:sz w:val="20"/>
          <w:szCs w:val="20"/>
        </w:rPr>
        <w:t xml:space="preserve">, Y. (2007). </w:t>
      </w:r>
      <w:proofErr w:type="spellStart"/>
      <w:r w:rsidRPr="00C4026F">
        <w:rPr>
          <w:rFonts w:ascii="Palatino Linotype" w:hAnsi="Palatino Linotype" w:cs="Times New Roman"/>
          <w:sz w:val="20"/>
          <w:szCs w:val="20"/>
        </w:rPr>
        <w:t>Coping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flexibility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locus</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control</w:t>
      </w:r>
      <w:proofErr w:type="spellEnd"/>
      <w:r w:rsidRPr="00C4026F">
        <w:rPr>
          <w:rFonts w:ascii="Palatino Linotype" w:hAnsi="Palatino Linotype" w:cs="Times New Roman"/>
          <w:sz w:val="20"/>
          <w:szCs w:val="20"/>
        </w:rPr>
        <w:t xml:space="preserve"> as </w:t>
      </w:r>
      <w:proofErr w:type="spellStart"/>
      <w:r w:rsidRPr="00C4026F">
        <w:rPr>
          <w:rFonts w:ascii="Palatino Linotype" w:hAnsi="Palatino Linotype" w:cs="Times New Roman"/>
          <w:sz w:val="20"/>
          <w:szCs w:val="20"/>
        </w:rPr>
        <w:t>predictors</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among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chinese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college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Social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Behavior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and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Personality</w:t>
      </w:r>
      <w:proofErr w:type="spellEnd"/>
      <w:r w:rsidRPr="00C43EA7">
        <w:rPr>
          <w:rFonts w:ascii="Palatino Linotype" w:hAnsi="Palatino Linotype" w:cs="Times New Roman"/>
          <w:i/>
          <w:sz w:val="20"/>
          <w:szCs w:val="20"/>
        </w:rPr>
        <w:t>, 35</w:t>
      </w:r>
      <w:r w:rsidRPr="00C4026F">
        <w:rPr>
          <w:rFonts w:ascii="Palatino Linotype" w:hAnsi="Palatino Linotype" w:cs="Times New Roman"/>
          <w:sz w:val="20"/>
          <w:szCs w:val="20"/>
        </w:rPr>
        <w:t>(8), 1087-1098.</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Grayson</w:t>
      </w:r>
      <w:proofErr w:type="spellEnd"/>
      <w:r w:rsidRPr="00C4026F">
        <w:rPr>
          <w:rFonts w:ascii="Palatino Linotype" w:hAnsi="Palatino Linotype" w:cs="Times New Roman"/>
          <w:sz w:val="20"/>
          <w:szCs w:val="20"/>
        </w:rPr>
        <w:t>, J.</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L</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Alvarez</w:t>
      </w:r>
      <w:proofErr w:type="spellEnd"/>
      <w:r w:rsidRPr="00C4026F">
        <w:rPr>
          <w:rFonts w:ascii="Palatino Linotype" w:hAnsi="Palatino Linotype" w:cs="Times New Roman"/>
          <w:sz w:val="20"/>
          <w:szCs w:val="20"/>
        </w:rPr>
        <w:t>, H.</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K. (2008). School </w:t>
      </w:r>
      <w:proofErr w:type="spellStart"/>
      <w:r w:rsidRPr="00C4026F">
        <w:rPr>
          <w:rFonts w:ascii="Palatino Linotype" w:hAnsi="Palatino Linotype" w:cs="Times New Roman"/>
          <w:sz w:val="20"/>
          <w:szCs w:val="20"/>
        </w:rPr>
        <w:t>climate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factors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relating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to</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teacher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A </w:t>
      </w:r>
      <w:proofErr w:type="spellStart"/>
      <w:r w:rsidRPr="00C4026F">
        <w:rPr>
          <w:rFonts w:ascii="Palatino Linotype" w:hAnsi="Palatino Linotype" w:cs="Times New Roman"/>
          <w:sz w:val="20"/>
          <w:szCs w:val="20"/>
        </w:rPr>
        <w:t>mediator</w:t>
      </w:r>
      <w:proofErr w:type="spellEnd"/>
      <w:r w:rsidRPr="00C4026F">
        <w:rPr>
          <w:rFonts w:ascii="Palatino Linotype" w:hAnsi="Palatino Linotype" w:cs="Times New Roman"/>
          <w:sz w:val="20"/>
          <w:szCs w:val="20"/>
        </w:rPr>
        <w:t xml:space="preserve"> model. </w:t>
      </w:r>
      <w:proofErr w:type="spellStart"/>
      <w:r w:rsidRPr="00C4026F">
        <w:rPr>
          <w:rFonts w:ascii="Palatino Linotype" w:hAnsi="Palatino Linotype" w:cs="Times New Roman"/>
          <w:i/>
          <w:sz w:val="20"/>
          <w:szCs w:val="20"/>
        </w:rPr>
        <w:t>Teaching</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and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Teacher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Education</w:t>
      </w:r>
      <w:proofErr w:type="spellEnd"/>
      <w:r w:rsidRPr="00CB764B">
        <w:rPr>
          <w:rFonts w:ascii="Palatino Linotype" w:hAnsi="Palatino Linotype" w:cs="Times New Roman"/>
          <w:i/>
          <w:sz w:val="20"/>
          <w:szCs w:val="20"/>
        </w:rPr>
        <w:t>, 24</w:t>
      </w:r>
      <w:r w:rsidRPr="00C4026F">
        <w:rPr>
          <w:rFonts w:ascii="Palatino Linotype" w:hAnsi="Palatino Linotype" w:cs="Times New Roman"/>
          <w:sz w:val="20"/>
          <w:szCs w:val="20"/>
        </w:rPr>
        <w:t>(5), 1349-1363.</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Gündüz, B</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Çapri</w:t>
      </w:r>
      <w:proofErr w:type="spellEnd"/>
      <w:r w:rsidRPr="00C4026F">
        <w:rPr>
          <w:rFonts w:ascii="Palatino Linotype" w:hAnsi="Palatino Linotype" w:cs="Times New Roman"/>
          <w:sz w:val="20"/>
          <w:szCs w:val="20"/>
        </w:rPr>
        <w:t>, B</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Gökçakan</w:t>
      </w:r>
      <w:proofErr w:type="spellEnd"/>
      <w:r w:rsidRPr="00C4026F">
        <w:rPr>
          <w:rFonts w:ascii="Palatino Linotype" w:hAnsi="Palatino Linotype" w:cs="Times New Roman"/>
          <w:sz w:val="20"/>
          <w:szCs w:val="20"/>
        </w:rPr>
        <w:t xml:space="preserve">, Z. (2012). </w:t>
      </w:r>
      <w:proofErr w:type="gramStart"/>
      <w:r w:rsidRPr="00C4026F">
        <w:rPr>
          <w:rFonts w:ascii="Palatino Linotype" w:hAnsi="Palatino Linotype" w:cs="Times New Roman"/>
          <w:sz w:val="20"/>
          <w:szCs w:val="20"/>
        </w:rPr>
        <w:t xml:space="preserve">Üniversite öğrencilerinin tükenmişlik düzeylerinin incelenmesi. </w:t>
      </w:r>
      <w:proofErr w:type="gramEnd"/>
      <w:r w:rsidRPr="00C4026F">
        <w:rPr>
          <w:rFonts w:ascii="Palatino Linotype" w:hAnsi="Palatino Linotype" w:cs="Times New Roman"/>
          <w:i/>
          <w:sz w:val="20"/>
          <w:szCs w:val="20"/>
        </w:rPr>
        <w:t>Dicle Üniversitesi Ziya Gökalp Eğitim Fakültesi Dergisi</w:t>
      </w:r>
      <w:r w:rsidRPr="002857A0">
        <w:rPr>
          <w:rFonts w:ascii="Palatino Linotype" w:hAnsi="Palatino Linotype" w:cs="Times New Roman"/>
          <w:i/>
          <w:sz w:val="20"/>
          <w:szCs w:val="20"/>
        </w:rPr>
        <w:t>, 19</w:t>
      </w:r>
      <w:r w:rsidRPr="00C4026F">
        <w:rPr>
          <w:rFonts w:ascii="Palatino Linotype" w:hAnsi="Palatino Linotype" w:cs="Times New Roman"/>
          <w:sz w:val="20"/>
          <w:szCs w:val="20"/>
        </w:rPr>
        <w:t xml:space="preserve">, 38-55.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Hinton</w:t>
      </w:r>
      <w:proofErr w:type="spellEnd"/>
      <w:r w:rsidRPr="00C4026F">
        <w:rPr>
          <w:rFonts w:ascii="Palatino Linotype" w:hAnsi="Palatino Linotype" w:cs="Times New Roman"/>
          <w:sz w:val="20"/>
          <w:szCs w:val="20"/>
        </w:rPr>
        <w:t xml:space="preserve">, P.R. (2005). </w:t>
      </w:r>
      <w:proofErr w:type="spellStart"/>
      <w:r w:rsidRPr="00C4026F">
        <w:rPr>
          <w:rFonts w:ascii="Palatino Linotype" w:hAnsi="Palatino Linotype" w:cs="Times New Roman"/>
          <w:i/>
          <w:sz w:val="20"/>
          <w:szCs w:val="20"/>
        </w:rPr>
        <w:t>Statistics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explained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London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Routledge</w:t>
      </w:r>
      <w:proofErr w:type="spellEnd"/>
      <w:r w:rsidRPr="00C4026F">
        <w:rPr>
          <w:rFonts w:ascii="Palatino Linotype" w:hAnsi="Palatino Linotype" w:cs="Times New Roman"/>
          <w:sz w:val="20"/>
          <w:szCs w:val="20"/>
        </w:rPr>
        <w:t xml:space="preserve">.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Hotchkiss</w:t>
      </w:r>
      <w:proofErr w:type="spellEnd"/>
      <w:r w:rsidRPr="00C4026F">
        <w:rPr>
          <w:rFonts w:ascii="Palatino Linotype" w:hAnsi="Palatino Linotype" w:cs="Times New Roman"/>
          <w:sz w:val="20"/>
          <w:szCs w:val="20"/>
        </w:rPr>
        <w:t>, N.</w:t>
      </w:r>
      <w:r w:rsidR="002F0551">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F. (2008). </w:t>
      </w:r>
      <w:proofErr w:type="spellStart"/>
      <w:r w:rsidRPr="00C4026F">
        <w:rPr>
          <w:rFonts w:ascii="Palatino Linotype" w:hAnsi="Palatino Linotype" w:cs="Times New Roman"/>
          <w:sz w:val="20"/>
          <w:szCs w:val="20"/>
        </w:rPr>
        <w:t>Predictors</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reactivation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gender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differences</w:t>
      </w:r>
      <w:proofErr w:type="spellEnd"/>
      <w:r w:rsidRPr="00C4026F">
        <w:rPr>
          <w:rFonts w:ascii="Palatino Linotype" w:hAnsi="Palatino Linotype" w:cs="Times New Roman"/>
          <w:sz w:val="20"/>
          <w:szCs w:val="20"/>
        </w:rPr>
        <w:t xml:space="preserve"> at a </w:t>
      </w:r>
      <w:proofErr w:type="spellStart"/>
      <w:r w:rsidRPr="00C4026F">
        <w:rPr>
          <w:rFonts w:ascii="Palatino Linotype" w:hAnsi="Palatino Linotype" w:cs="Times New Roman"/>
          <w:sz w:val="20"/>
          <w:szCs w:val="20"/>
        </w:rPr>
        <w:t>physician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health</w:t>
      </w:r>
      <w:proofErr w:type="spellEnd"/>
      <w:r w:rsidRPr="00C4026F">
        <w:rPr>
          <w:rFonts w:ascii="Palatino Linotype" w:hAnsi="Palatino Linotype" w:cs="Times New Roman"/>
          <w:sz w:val="20"/>
          <w:szCs w:val="20"/>
        </w:rPr>
        <w:t xml:space="preserve"> program </w:t>
      </w:r>
      <w:proofErr w:type="spellStart"/>
      <w:r w:rsidRPr="00C4026F">
        <w:rPr>
          <w:rFonts w:ascii="Palatino Linotype" w:hAnsi="Palatino Linotype" w:cs="Times New Roman"/>
          <w:sz w:val="20"/>
          <w:szCs w:val="20"/>
        </w:rPr>
        <w:t>by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age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marital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status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primary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presenting</w:t>
      </w:r>
      <w:proofErr w:type="spellEnd"/>
      <w:r w:rsidRPr="00C4026F">
        <w:rPr>
          <w:rFonts w:ascii="Palatino Linotype" w:hAnsi="Palatino Linotype" w:cs="Times New Roman"/>
          <w:sz w:val="20"/>
          <w:szCs w:val="20"/>
        </w:rPr>
        <w:t xml:space="preserve"> problem, </w:t>
      </w:r>
      <w:proofErr w:type="spellStart"/>
      <w:r w:rsidRPr="00C4026F">
        <w:rPr>
          <w:rFonts w:ascii="Palatino Linotype" w:hAnsi="Palatino Linotype" w:cs="Times New Roman"/>
          <w:sz w:val="20"/>
          <w:szCs w:val="20"/>
        </w:rPr>
        <w:t>referral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source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referral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status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Dissertation</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Abstracts</w:t>
      </w:r>
      <w:proofErr w:type="spellEnd"/>
      <w:r w:rsidRPr="00C4026F">
        <w:rPr>
          <w:rFonts w:ascii="Palatino Linotype" w:hAnsi="Palatino Linotype" w:cs="Times New Roman"/>
          <w:i/>
          <w:sz w:val="20"/>
          <w:szCs w:val="20"/>
        </w:rPr>
        <w:t xml:space="preserve"> International: </w:t>
      </w:r>
      <w:proofErr w:type="spellStart"/>
      <w:r w:rsidRPr="00C4026F">
        <w:rPr>
          <w:rFonts w:ascii="Palatino Linotype" w:hAnsi="Palatino Linotype" w:cs="Times New Roman"/>
          <w:i/>
          <w:sz w:val="20"/>
          <w:szCs w:val="20"/>
        </w:rPr>
        <w:t>Section</w:t>
      </w:r>
      <w:proofErr w:type="spellEnd"/>
      <w:r w:rsidRPr="00C4026F">
        <w:rPr>
          <w:rFonts w:ascii="Palatino Linotype" w:hAnsi="Palatino Linotype" w:cs="Times New Roman"/>
          <w:i/>
          <w:sz w:val="20"/>
          <w:szCs w:val="20"/>
        </w:rPr>
        <w:t xml:space="preserve"> B: </w:t>
      </w:r>
      <w:proofErr w:type="spellStart"/>
      <w:r w:rsidRPr="00C4026F">
        <w:rPr>
          <w:rFonts w:ascii="Palatino Linotype" w:hAnsi="Palatino Linotype" w:cs="Times New Roman"/>
          <w:i/>
          <w:sz w:val="20"/>
          <w:szCs w:val="20"/>
        </w:rPr>
        <w:t>The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Sciences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and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Engineering</w:t>
      </w:r>
      <w:proofErr w:type="spellEnd"/>
      <w:r w:rsidRPr="00C4026F">
        <w:rPr>
          <w:rFonts w:ascii="Palatino Linotype" w:hAnsi="Palatino Linotype" w:cs="Times New Roman"/>
          <w:sz w:val="20"/>
          <w:szCs w:val="20"/>
        </w:rPr>
        <w:t>, 2-B, 1369.</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Jacobs</w:t>
      </w:r>
      <w:proofErr w:type="spellEnd"/>
      <w:r w:rsidRPr="00C4026F">
        <w:rPr>
          <w:rFonts w:ascii="Palatino Linotype" w:hAnsi="Palatino Linotype" w:cs="Times New Roman"/>
          <w:sz w:val="20"/>
          <w:szCs w:val="20"/>
        </w:rPr>
        <w:t>, S</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Dodd</w:t>
      </w:r>
      <w:proofErr w:type="spellEnd"/>
      <w:r w:rsidRPr="00C4026F">
        <w:rPr>
          <w:rFonts w:ascii="Palatino Linotype" w:hAnsi="Palatino Linotype" w:cs="Times New Roman"/>
          <w:sz w:val="20"/>
          <w:szCs w:val="20"/>
        </w:rPr>
        <w:t xml:space="preserve">, D. (2003). </w:t>
      </w:r>
      <w:proofErr w:type="spellStart"/>
      <w:r w:rsidRPr="00C4026F">
        <w:rPr>
          <w:rFonts w:ascii="Palatino Linotype" w:hAnsi="Palatino Linotype" w:cs="Times New Roman"/>
          <w:sz w:val="20"/>
          <w:szCs w:val="20"/>
        </w:rPr>
        <w:t>Student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as a </w:t>
      </w:r>
      <w:proofErr w:type="spellStart"/>
      <w:r w:rsidRPr="00C4026F">
        <w:rPr>
          <w:rFonts w:ascii="Palatino Linotype" w:hAnsi="Palatino Linotype" w:cs="Times New Roman"/>
          <w:sz w:val="20"/>
          <w:szCs w:val="20"/>
        </w:rPr>
        <w:t>function</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personality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social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support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workload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College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Student</w:t>
      </w:r>
      <w:proofErr w:type="spellEnd"/>
      <w:r w:rsidRPr="00C4026F">
        <w:rPr>
          <w:rFonts w:ascii="Palatino Linotype" w:hAnsi="Palatino Linotype" w:cs="Times New Roman"/>
          <w:i/>
          <w:sz w:val="20"/>
          <w:szCs w:val="20"/>
        </w:rPr>
        <w:t xml:space="preserve"> Development</w:t>
      </w:r>
      <w:r w:rsidRPr="009E0E23">
        <w:rPr>
          <w:rFonts w:ascii="Palatino Linotype" w:hAnsi="Palatino Linotype" w:cs="Times New Roman"/>
          <w:i/>
          <w:sz w:val="20"/>
          <w:szCs w:val="20"/>
        </w:rPr>
        <w:t>, 44</w:t>
      </w:r>
      <w:r w:rsidRPr="00C4026F">
        <w:rPr>
          <w:rFonts w:ascii="Palatino Linotype" w:hAnsi="Palatino Linotype" w:cs="Times New Roman"/>
          <w:sz w:val="20"/>
          <w:szCs w:val="20"/>
        </w:rPr>
        <w:t>(3), 291-303.</w:t>
      </w:r>
    </w:p>
    <w:p w:rsidR="00FF02D4" w:rsidRPr="00C4026F" w:rsidRDefault="00FF02D4" w:rsidP="00097D34">
      <w:pPr>
        <w:spacing w:after="60" w:line="240" w:lineRule="auto"/>
        <w:ind w:left="426" w:hanging="426"/>
        <w:jc w:val="both"/>
        <w:rPr>
          <w:rFonts w:ascii="Palatino Linotype" w:hAnsi="Palatino Linotype" w:cs="Times New Roman"/>
          <w:sz w:val="20"/>
          <w:szCs w:val="20"/>
          <w:lang w:val="en-US"/>
        </w:rPr>
      </w:pPr>
      <w:proofErr w:type="spellStart"/>
      <w:r w:rsidRPr="00C4026F">
        <w:rPr>
          <w:rFonts w:ascii="Palatino Linotype" w:hAnsi="Palatino Linotype" w:cs="Times New Roman"/>
          <w:sz w:val="20"/>
          <w:szCs w:val="20"/>
          <w:lang w:val="en-US"/>
        </w:rPr>
        <w:t>Kalantarkousheh</w:t>
      </w:r>
      <w:proofErr w:type="spellEnd"/>
      <w:r w:rsidRPr="00C4026F">
        <w:rPr>
          <w:rFonts w:ascii="Palatino Linotype" w:hAnsi="Palatino Linotype" w:cs="Times New Roman"/>
          <w:sz w:val="20"/>
          <w:szCs w:val="20"/>
          <w:lang w:val="en-US"/>
        </w:rPr>
        <w:t>, M.</w:t>
      </w:r>
      <w:r w:rsidR="002F0551">
        <w:rPr>
          <w:rFonts w:ascii="Palatino Linotype" w:hAnsi="Palatino Linotype" w:cs="Times New Roman"/>
          <w:sz w:val="20"/>
          <w:szCs w:val="20"/>
          <w:lang w:val="en-US"/>
        </w:rPr>
        <w:t xml:space="preserve"> </w:t>
      </w:r>
      <w:r w:rsidRPr="00C4026F">
        <w:rPr>
          <w:rFonts w:ascii="Palatino Linotype" w:hAnsi="Palatino Linotype" w:cs="Times New Roman"/>
          <w:sz w:val="20"/>
          <w:szCs w:val="20"/>
          <w:lang w:val="en-US"/>
        </w:rPr>
        <w:t xml:space="preserve">S., </w:t>
      </w:r>
      <w:proofErr w:type="spellStart"/>
      <w:r w:rsidRPr="00C4026F">
        <w:rPr>
          <w:rFonts w:ascii="Palatino Linotype" w:hAnsi="Palatino Linotype" w:cs="Times New Roman"/>
          <w:sz w:val="20"/>
          <w:szCs w:val="20"/>
          <w:lang w:val="en-US"/>
        </w:rPr>
        <w:t>Araqi</w:t>
      </w:r>
      <w:proofErr w:type="spellEnd"/>
      <w:r w:rsidRPr="00C4026F">
        <w:rPr>
          <w:rFonts w:ascii="Palatino Linotype" w:hAnsi="Palatino Linotype" w:cs="Times New Roman"/>
          <w:sz w:val="20"/>
          <w:szCs w:val="20"/>
          <w:lang w:val="en-US"/>
        </w:rPr>
        <w:t>, V., Moslem, Z</w:t>
      </w:r>
      <w:r w:rsidR="00853B3D">
        <w:rPr>
          <w:rFonts w:ascii="Palatino Linotype" w:hAnsi="Palatino Linotype" w:cs="Times New Roman"/>
          <w:sz w:val="20"/>
          <w:szCs w:val="20"/>
          <w:lang w:val="en-US"/>
        </w:rPr>
        <w:t>.</w:t>
      </w:r>
      <w:r w:rsidR="00D10C65">
        <w:rPr>
          <w:rFonts w:ascii="Palatino Linotype" w:hAnsi="Palatino Linotype" w:cs="Times New Roman"/>
          <w:sz w:val="20"/>
          <w:szCs w:val="20"/>
          <w:lang w:val="en-US"/>
        </w:rPr>
        <w:t xml:space="preserve"> ve</w:t>
      </w:r>
      <w:r w:rsidRPr="00C4026F">
        <w:rPr>
          <w:rFonts w:ascii="Palatino Linotype" w:hAnsi="Palatino Linotype" w:cs="Times New Roman"/>
          <w:sz w:val="20"/>
          <w:szCs w:val="20"/>
          <w:lang w:val="en-US"/>
        </w:rPr>
        <w:t xml:space="preserve"> </w:t>
      </w:r>
      <w:proofErr w:type="spellStart"/>
      <w:r w:rsidRPr="00C4026F">
        <w:rPr>
          <w:rFonts w:ascii="Palatino Linotype" w:hAnsi="Palatino Linotype" w:cs="Times New Roman"/>
          <w:sz w:val="20"/>
          <w:szCs w:val="20"/>
          <w:lang w:val="en-US"/>
        </w:rPr>
        <w:t>Mirzaee</w:t>
      </w:r>
      <w:proofErr w:type="spellEnd"/>
      <w:r w:rsidRPr="00C4026F">
        <w:rPr>
          <w:rFonts w:ascii="Palatino Linotype" w:hAnsi="Palatino Linotype" w:cs="Times New Roman"/>
          <w:sz w:val="20"/>
          <w:szCs w:val="20"/>
          <w:lang w:val="en-US"/>
        </w:rPr>
        <w:t>, F.</w:t>
      </w:r>
      <w:r w:rsidR="002F0551">
        <w:rPr>
          <w:rFonts w:ascii="Palatino Linotype" w:hAnsi="Palatino Linotype" w:cs="Times New Roman"/>
          <w:sz w:val="20"/>
          <w:szCs w:val="20"/>
          <w:lang w:val="en-US"/>
        </w:rPr>
        <w:t xml:space="preserve"> </w:t>
      </w:r>
      <w:r w:rsidRPr="00C4026F">
        <w:rPr>
          <w:rFonts w:ascii="Palatino Linotype" w:hAnsi="Palatino Linotype" w:cs="Times New Roman"/>
          <w:sz w:val="20"/>
          <w:szCs w:val="20"/>
          <w:lang w:val="en-US"/>
        </w:rPr>
        <w:t xml:space="preserve">O. (2013). Locus of control and academic burnout among </w:t>
      </w:r>
      <w:proofErr w:type="spellStart"/>
      <w:r w:rsidRPr="00C4026F">
        <w:rPr>
          <w:rFonts w:ascii="Palatino Linotype" w:hAnsi="Palatino Linotype" w:cs="Times New Roman"/>
          <w:sz w:val="20"/>
          <w:szCs w:val="20"/>
          <w:lang w:val="en-US"/>
        </w:rPr>
        <w:t>Allameh</w:t>
      </w:r>
      <w:proofErr w:type="spellEnd"/>
      <w:r w:rsidRPr="00C4026F">
        <w:rPr>
          <w:rFonts w:ascii="Palatino Linotype" w:hAnsi="Palatino Linotype" w:cs="Times New Roman"/>
          <w:sz w:val="20"/>
          <w:szCs w:val="20"/>
          <w:lang w:val="en-US"/>
        </w:rPr>
        <w:t xml:space="preserve"> </w:t>
      </w:r>
      <w:proofErr w:type="spellStart"/>
      <w:r w:rsidRPr="00C4026F">
        <w:rPr>
          <w:rFonts w:ascii="Palatino Linotype" w:hAnsi="Palatino Linotype" w:cs="Times New Roman"/>
          <w:sz w:val="20"/>
          <w:szCs w:val="20"/>
          <w:lang w:val="en-US"/>
        </w:rPr>
        <w:t>Tabataba'i</w:t>
      </w:r>
      <w:proofErr w:type="spellEnd"/>
      <w:r w:rsidRPr="00C4026F">
        <w:rPr>
          <w:rFonts w:ascii="Palatino Linotype" w:hAnsi="Palatino Linotype" w:cs="Times New Roman"/>
          <w:sz w:val="20"/>
          <w:szCs w:val="20"/>
          <w:lang w:val="en-US"/>
        </w:rPr>
        <w:t xml:space="preserve"> University students. </w:t>
      </w:r>
      <w:r w:rsidRPr="00C4026F">
        <w:rPr>
          <w:rFonts w:ascii="Palatino Linotype" w:hAnsi="Palatino Linotype" w:cs="Times New Roman"/>
          <w:i/>
          <w:sz w:val="20"/>
          <w:szCs w:val="20"/>
          <w:lang w:val="en-US"/>
        </w:rPr>
        <w:t>International Journal of Physical and Social Sciences</w:t>
      </w:r>
      <w:r w:rsidRPr="00EC3528">
        <w:rPr>
          <w:rFonts w:ascii="Palatino Linotype" w:hAnsi="Palatino Linotype" w:cs="Times New Roman"/>
          <w:i/>
          <w:sz w:val="20"/>
          <w:szCs w:val="20"/>
          <w:lang w:val="en-US"/>
        </w:rPr>
        <w:t>, 3</w:t>
      </w:r>
      <w:r w:rsidRPr="00C4026F">
        <w:rPr>
          <w:rFonts w:ascii="Palatino Linotype" w:hAnsi="Palatino Linotype" w:cs="Times New Roman"/>
          <w:sz w:val="20"/>
          <w:szCs w:val="20"/>
          <w:lang w:val="en-US"/>
        </w:rPr>
        <w:t xml:space="preserve">(12), 309-321. </w:t>
      </w:r>
    </w:p>
    <w:p w:rsidR="00FF02D4" w:rsidRPr="00C4026F" w:rsidRDefault="00FF02D4" w:rsidP="00097D34">
      <w:pPr>
        <w:spacing w:after="60" w:line="240" w:lineRule="auto"/>
        <w:ind w:left="426" w:hanging="426"/>
        <w:jc w:val="both"/>
        <w:rPr>
          <w:rFonts w:ascii="Palatino Linotype" w:hAnsi="Palatino Linotype" w:cs="Times New Roman"/>
          <w:b/>
          <w:color w:val="FF0000"/>
          <w:sz w:val="20"/>
          <w:szCs w:val="20"/>
        </w:rPr>
      </w:pPr>
      <w:r w:rsidRPr="00C4026F">
        <w:rPr>
          <w:rFonts w:ascii="Palatino Linotype" w:hAnsi="Palatino Linotype" w:cs="Times New Roman"/>
          <w:sz w:val="20"/>
          <w:szCs w:val="20"/>
        </w:rPr>
        <w:t>Kim, B</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Lee, M., Kim, K., </w:t>
      </w:r>
      <w:proofErr w:type="spellStart"/>
      <w:r w:rsidRPr="00C4026F">
        <w:rPr>
          <w:rFonts w:ascii="Palatino Linotype" w:hAnsi="Palatino Linotype" w:cs="Times New Roman"/>
          <w:sz w:val="20"/>
          <w:szCs w:val="20"/>
        </w:rPr>
        <w:t>Choi</w:t>
      </w:r>
      <w:proofErr w:type="spellEnd"/>
      <w:r w:rsidRPr="00C4026F">
        <w:rPr>
          <w:rFonts w:ascii="Palatino Linotype" w:hAnsi="Palatino Linotype" w:cs="Times New Roman"/>
          <w:sz w:val="20"/>
          <w:szCs w:val="20"/>
        </w:rPr>
        <w:t>, H</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Lee, S.</w:t>
      </w:r>
      <w:r w:rsidR="003E69D2">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M. (2014). </w:t>
      </w:r>
      <w:proofErr w:type="spellStart"/>
      <w:r w:rsidRPr="00C4026F">
        <w:rPr>
          <w:rFonts w:ascii="Palatino Linotype" w:hAnsi="Palatino Linotype" w:cs="Times New Roman"/>
          <w:sz w:val="20"/>
          <w:szCs w:val="20"/>
        </w:rPr>
        <w:t>Longitudinal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analysis</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Korean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middle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school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Stress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Health</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sz w:val="20"/>
          <w:szCs w:val="20"/>
        </w:rPr>
        <w:t>Advance</w:t>
      </w:r>
      <w:proofErr w:type="spellEnd"/>
      <w:r w:rsidRPr="00C4026F">
        <w:rPr>
          <w:rFonts w:ascii="Palatino Linotype" w:hAnsi="Palatino Linotype" w:cs="Times New Roman"/>
          <w:sz w:val="20"/>
          <w:szCs w:val="20"/>
        </w:rPr>
        <w:t xml:space="preserve"> </w:t>
      </w:r>
      <w:proofErr w:type="gramStart"/>
      <w:r w:rsidRPr="00C4026F">
        <w:rPr>
          <w:rFonts w:ascii="Palatino Linotype" w:hAnsi="Palatino Linotype" w:cs="Times New Roman"/>
          <w:sz w:val="20"/>
          <w:szCs w:val="20"/>
        </w:rPr>
        <w:t>online</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publication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Doi</w:t>
      </w:r>
      <w:proofErr w:type="spellEnd"/>
      <w:r w:rsidRPr="00C4026F">
        <w:rPr>
          <w:rFonts w:ascii="Palatino Linotype" w:hAnsi="Palatino Linotype" w:cs="Times New Roman"/>
          <w:sz w:val="20"/>
          <w:szCs w:val="20"/>
        </w:rPr>
        <w:t xml:space="preserve">: </w:t>
      </w:r>
      <w:proofErr w:type="gramStart"/>
      <w:r w:rsidRPr="00C4026F">
        <w:rPr>
          <w:rFonts w:ascii="Palatino Linotype" w:hAnsi="Palatino Linotype" w:cs="Times New Roman"/>
          <w:sz w:val="20"/>
          <w:szCs w:val="20"/>
        </w:rPr>
        <w:t>10.1002</w:t>
      </w:r>
      <w:proofErr w:type="gramEnd"/>
      <w:r w:rsidRPr="00C4026F">
        <w:rPr>
          <w:rFonts w:ascii="Palatino Linotype" w:hAnsi="Palatino Linotype" w:cs="Times New Roman"/>
          <w:sz w:val="20"/>
          <w:szCs w:val="20"/>
        </w:rPr>
        <w:t>/smi.2553.</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Kiuru</w:t>
      </w:r>
      <w:proofErr w:type="spellEnd"/>
      <w:r w:rsidRPr="00C4026F">
        <w:rPr>
          <w:rFonts w:ascii="Palatino Linotype" w:hAnsi="Palatino Linotype" w:cs="Times New Roman"/>
          <w:sz w:val="20"/>
          <w:szCs w:val="20"/>
        </w:rPr>
        <w:t>, N</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Aunola</w:t>
      </w:r>
      <w:proofErr w:type="spellEnd"/>
      <w:r w:rsidRPr="00C4026F">
        <w:rPr>
          <w:rFonts w:ascii="Palatino Linotype" w:hAnsi="Palatino Linotype" w:cs="Times New Roman"/>
          <w:sz w:val="20"/>
          <w:szCs w:val="20"/>
        </w:rPr>
        <w:t xml:space="preserve">, K., </w:t>
      </w:r>
      <w:proofErr w:type="spellStart"/>
      <w:r w:rsidRPr="00C4026F">
        <w:rPr>
          <w:rFonts w:ascii="Palatino Linotype" w:hAnsi="Palatino Linotype" w:cs="Times New Roman"/>
          <w:sz w:val="20"/>
          <w:szCs w:val="20"/>
        </w:rPr>
        <w:t>Nurmi</w:t>
      </w:r>
      <w:proofErr w:type="spellEnd"/>
      <w:r w:rsidRPr="00C4026F">
        <w:rPr>
          <w:rFonts w:ascii="Palatino Linotype" w:hAnsi="Palatino Linotype" w:cs="Times New Roman"/>
          <w:sz w:val="20"/>
          <w:szCs w:val="20"/>
        </w:rPr>
        <w:t>, J.</w:t>
      </w:r>
      <w:r w:rsidR="003E69D2">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E., </w:t>
      </w:r>
      <w:proofErr w:type="spellStart"/>
      <w:r w:rsidRPr="00C4026F">
        <w:rPr>
          <w:rFonts w:ascii="Palatino Linotype" w:hAnsi="Palatino Linotype" w:cs="Times New Roman"/>
          <w:sz w:val="20"/>
          <w:szCs w:val="20"/>
        </w:rPr>
        <w:t>Leskinen</w:t>
      </w:r>
      <w:proofErr w:type="spellEnd"/>
      <w:r w:rsidRPr="00C4026F">
        <w:rPr>
          <w:rFonts w:ascii="Palatino Linotype" w:hAnsi="Palatino Linotype" w:cs="Times New Roman"/>
          <w:sz w:val="20"/>
          <w:szCs w:val="20"/>
        </w:rPr>
        <w:t>, E</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Salmela-Aro</w:t>
      </w:r>
      <w:proofErr w:type="spellEnd"/>
      <w:r w:rsidRPr="00C4026F">
        <w:rPr>
          <w:rFonts w:ascii="Palatino Linotype" w:hAnsi="Palatino Linotype" w:cs="Times New Roman"/>
          <w:sz w:val="20"/>
          <w:szCs w:val="20"/>
        </w:rPr>
        <w:t xml:space="preserve">, K. (2008). Peer </w:t>
      </w:r>
      <w:proofErr w:type="spellStart"/>
      <w:r w:rsidRPr="00C4026F">
        <w:rPr>
          <w:rFonts w:ascii="Palatino Linotype" w:hAnsi="Palatino Linotype" w:cs="Times New Roman"/>
          <w:sz w:val="20"/>
          <w:szCs w:val="20"/>
        </w:rPr>
        <w:t>group</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influence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selection</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adolescents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school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A </w:t>
      </w:r>
      <w:proofErr w:type="spellStart"/>
      <w:r w:rsidRPr="00C4026F">
        <w:rPr>
          <w:rFonts w:ascii="Palatino Linotype" w:hAnsi="Palatino Linotype" w:cs="Times New Roman"/>
          <w:sz w:val="20"/>
          <w:szCs w:val="20"/>
        </w:rPr>
        <w:t>longitudinal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study</w:t>
      </w:r>
      <w:proofErr w:type="spellEnd"/>
      <w:r w:rsidRPr="00C4026F">
        <w:rPr>
          <w:rFonts w:ascii="Palatino Linotype" w:hAnsi="Palatino Linotype" w:cs="Times New Roman"/>
          <w:sz w:val="20"/>
          <w:szCs w:val="20"/>
        </w:rPr>
        <w:t xml:space="preserve">. </w:t>
      </w:r>
      <w:r w:rsidRPr="00C4026F">
        <w:rPr>
          <w:rFonts w:ascii="Palatino Linotype" w:hAnsi="Palatino Linotype" w:cs="Times New Roman"/>
          <w:i/>
          <w:sz w:val="20"/>
          <w:szCs w:val="20"/>
        </w:rPr>
        <w:t>Merrill-</w:t>
      </w:r>
      <w:proofErr w:type="spellStart"/>
      <w:r w:rsidRPr="00C4026F">
        <w:rPr>
          <w:rFonts w:ascii="Palatino Linotype" w:hAnsi="Palatino Linotype" w:cs="Times New Roman"/>
          <w:i/>
          <w:sz w:val="20"/>
          <w:szCs w:val="20"/>
        </w:rPr>
        <w:t>Palmer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Quarterly</w:t>
      </w:r>
      <w:proofErr w:type="spellEnd"/>
      <w:r w:rsidRPr="00A85E65">
        <w:rPr>
          <w:rFonts w:ascii="Palatino Linotype" w:hAnsi="Palatino Linotype" w:cs="Times New Roman"/>
          <w:i/>
          <w:sz w:val="20"/>
          <w:szCs w:val="20"/>
        </w:rPr>
        <w:t>, 54</w:t>
      </w:r>
      <w:r w:rsidRPr="00C4026F">
        <w:rPr>
          <w:rFonts w:ascii="Palatino Linotype" w:hAnsi="Palatino Linotype" w:cs="Times New Roman"/>
          <w:sz w:val="20"/>
          <w:szCs w:val="20"/>
        </w:rPr>
        <w:t>(1), 23-55.</w:t>
      </w:r>
    </w:p>
    <w:p w:rsidR="00FF02D4" w:rsidRPr="00C4026F" w:rsidRDefault="00FF02D4" w:rsidP="00D521DD">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lastRenderedPageBreak/>
        <w:t>Kuperminc</w:t>
      </w:r>
      <w:proofErr w:type="spellEnd"/>
      <w:r w:rsidRPr="00C4026F">
        <w:rPr>
          <w:rFonts w:ascii="Palatino Linotype" w:hAnsi="Palatino Linotype" w:cs="Times New Roman"/>
          <w:sz w:val="20"/>
          <w:szCs w:val="20"/>
        </w:rPr>
        <w:t>, G.</w:t>
      </w:r>
      <w:r w:rsidR="003E69D2">
        <w:rPr>
          <w:rFonts w:ascii="Palatino Linotype" w:hAnsi="Palatino Linotype" w:cs="Times New Roman"/>
          <w:sz w:val="20"/>
          <w:szCs w:val="20"/>
        </w:rPr>
        <w:t xml:space="preserve"> </w:t>
      </w:r>
      <w:r w:rsidRPr="00C4026F">
        <w:rPr>
          <w:rFonts w:ascii="Palatino Linotype" w:hAnsi="Palatino Linotype" w:cs="Times New Roman"/>
          <w:sz w:val="20"/>
          <w:szCs w:val="20"/>
        </w:rPr>
        <w:t>P</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Leadbeater</w:t>
      </w:r>
      <w:proofErr w:type="spellEnd"/>
      <w:r w:rsidRPr="00C4026F">
        <w:rPr>
          <w:rFonts w:ascii="Palatino Linotype" w:hAnsi="Palatino Linotype" w:cs="Times New Roman"/>
          <w:sz w:val="20"/>
          <w:szCs w:val="20"/>
        </w:rPr>
        <w:t>, B.</w:t>
      </w:r>
      <w:r w:rsidR="003E69D2">
        <w:rPr>
          <w:rFonts w:ascii="Palatino Linotype" w:hAnsi="Palatino Linotype" w:cs="Times New Roman"/>
          <w:sz w:val="20"/>
          <w:szCs w:val="20"/>
        </w:rPr>
        <w:t xml:space="preserve"> </w:t>
      </w:r>
      <w:r w:rsidRPr="00C4026F">
        <w:rPr>
          <w:rFonts w:ascii="Palatino Linotype" w:hAnsi="Palatino Linotype" w:cs="Times New Roman"/>
          <w:sz w:val="20"/>
          <w:szCs w:val="20"/>
        </w:rPr>
        <w:t>J</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Blatt</w:t>
      </w:r>
      <w:proofErr w:type="spellEnd"/>
      <w:r w:rsidRPr="00C4026F">
        <w:rPr>
          <w:rFonts w:ascii="Palatino Linotype" w:hAnsi="Palatino Linotype" w:cs="Times New Roman"/>
          <w:sz w:val="20"/>
          <w:szCs w:val="20"/>
        </w:rPr>
        <w:t>, S.</w:t>
      </w:r>
      <w:r w:rsidR="003E69D2">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J. (2001). School </w:t>
      </w:r>
      <w:proofErr w:type="spellStart"/>
      <w:r w:rsidRPr="00C4026F">
        <w:rPr>
          <w:rFonts w:ascii="Palatino Linotype" w:hAnsi="Palatino Linotype" w:cs="Times New Roman"/>
          <w:sz w:val="20"/>
          <w:szCs w:val="20"/>
        </w:rPr>
        <w:t>social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climate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individual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differences</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vulnerability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to</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psychopathology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among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middle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school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School </w:t>
      </w:r>
      <w:proofErr w:type="spellStart"/>
      <w:r w:rsidRPr="00C4026F">
        <w:rPr>
          <w:rFonts w:ascii="Palatino Linotype" w:hAnsi="Palatino Linotype" w:cs="Times New Roman"/>
          <w:i/>
          <w:sz w:val="20"/>
          <w:szCs w:val="20"/>
        </w:rPr>
        <w:t>Psychology</w:t>
      </w:r>
      <w:proofErr w:type="spellEnd"/>
      <w:r w:rsidRPr="006C6711">
        <w:rPr>
          <w:rFonts w:ascii="Palatino Linotype" w:hAnsi="Palatino Linotype" w:cs="Times New Roman"/>
          <w:i/>
          <w:sz w:val="20"/>
          <w:szCs w:val="20"/>
        </w:rPr>
        <w:t>, 39</w:t>
      </w:r>
      <w:r w:rsidRPr="00C4026F">
        <w:rPr>
          <w:rFonts w:ascii="Palatino Linotype" w:hAnsi="Palatino Linotype" w:cs="Times New Roman"/>
          <w:sz w:val="20"/>
          <w:szCs w:val="20"/>
        </w:rPr>
        <w:t>(2), 141-159.</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Kutsal, D</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Bilge, F. (2012). </w:t>
      </w:r>
      <w:proofErr w:type="gramStart"/>
      <w:r w:rsidRPr="00C4026F">
        <w:rPr>
          <w:rFonts w:ascii="Palatino Linotype" w:hAnsi="Palatino Linotype" w:cs="Times New Roman"/>
          <w:sz w:val="20"/>
          <w:szCs w:val="20"/>
        </w:rPr>
        <w:t xml:space="preserve">Lise öğrencilerinin tükenmişlik ve sosyal destek düzeyleri. </w:t>
      </w:r>
      <w:proofErr w:type="gramEnd"/>
      <w:r w:rsidRPr="00C4026F">
        <w:rPr>
          <w:rFonts w:ascii="Palatino Linotype" w:hAnsi="Palatino Linotype" w:cs="Times New Roman"/>
          <w:i/>
          <w:sz w:val="20"/>
          <w:szCs w:val="20"/>
        </w:rPr>
        <w:t>Eğitim ve Bilim</w:t>
      </w:r>
      <w:r w:rsidRPr="001F725F">
        <w:rPr>
          <w:rFonts w:ascii="Palatino Linotype" w:hAnsi="Palatino Linotype" w:cs="Times New Roman"/>
          <w:i/>
          <w:sz w:val="20"/>
          <w:szCs w:val="20"/>
        </w:rPr>
        <w:t>, 37</w:t>
      </w:r>
      <w:r w:rsidRPr="00C4026F">
        <w:rPr>
          <w:rFonts w:ascii="Palatino Linotype" w:hAnsi="Palatino Linotype" w:cs="Times New Roman"/>
          <w:sz w:val="20"/>
          <w:szCs w:val="20"/>
        </w:rPr>
        <w:t>(164), 283-297.</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Leiter</w:t>
      </w:r>
      <w:proofErr w:type="spellEnd"/>
      <w:r w:rsidRPr="00C4026F">
        <w:rPr>
          <w:rFonts w:ascii="Palatino Linotype" w:hAnsi="Palatino Linotype" w:cs="Times New Roman"/>
          <w:sz w:val="20"/>
          <w:szCs w:val="20"/>
        </w:rPr>
        <w:t>, M.</w:t>
      </w:r>
      <w:r w:rsidR="00373D69">
        <w:rPr>
          <w:rFonts w:ascii="Palatino Linotype" w:hAnsi="Palatino Linotype" w:cs="Times New Roman"/>
          <w:sz w:val="20"/>
          <w:szCs w:val="20"/>
        </w:rPr>
        <w:t xml:space="preserve"> </w:t>
      </w:r>
      <w:r w:rsidRPr="00C4026F">
        <w:rPr>
          <w:rFonts w:ascii="Palatino Linotype" w:hAnsi="Palatino Linotype" w:cs="Times New Roman"/>
          <w:sz w:val="20"/>
          <w:szCs w:val="20"/>
        </w:rPr>
        <w:t>P</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Schaufeli</w:t>
      </w:r>
      <w:proofErr w:type="spellEnd"/>
      <w:r w:rsidRPr="00C4026F">
        <w:rPr>
          <w:rFonts w:ascii="Palatino Linotype" w:hAnsi="Palatino Linotype" w:cs="Times New Roman"/>
          <w:sz w:val="20"/>
          <w:szCs w:val="20"/>
        </w:rPr>
        <w:t>, W.</w:t>
      </w:r>
      <w:r w:rsidR="00373D69">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B. (1996) </w:t>
      </w:r>
      <w:proofErr w:type="spellStart"/>
      <w:r w:rsidRPr="00C4026F">
        <w:rPr>
          <w:rFonts w:ascii="Palatino Linotype" w:hAnsi="Palatino Linotype" w:cs="Times New Roman"/>
          <w:sz w:val="20"/>
          <w:szCs w:val="20"/>
        </w:rPr>
        <w:t>Consistency</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construct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across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occupations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Anxiety</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Stress</w:t>
      </w:r>
      <w:proofErr w:type="spellEnd"/>
      <w:r w:rsidRPr="00C4026F">
        <w:rPr>
          <w:rFonts w:ascii="Palatino Linotype" w:hAnsi="Palatino Linotype" w:cs="Times New Roman"/>
          <w:i/>
          <w:sz w:val="20"/>
          <w:szCs w:val="20"/>
        </w:rPr>
        <w:t xml:space="preserve"> &amp; </w:t>
      </w:r>
      <w:proofErr w:type="spellStart"/>
      <w:r w:rsidRPr="00C4026F">
        <w:rPr>
          <w:rFonts w:ascii="Palatino Linotype" w:hAnsi="Palatino Linotype" w:cs="Times New Roman"/>
          <w:i/>
          <w:sz w:val="20"/>
          <w:szCs w:val="20"/>
        </w:rPr>
        <w:t>Coping</w:t>
      </w:r>
      <w:proofErr w:type="spellEnd"/>
      <w:r w:rsidRPr="00C4026F">
        <w:rPr>
          <w:rFonts w:ascii="Palatino Linotype" w:hAnsi="Palatino Linotype" w:cs="Times New Roman"/>
          <w:i/>
          <w:sz w:val="20"/>
          <w:szCs w:val="20"/>
        </w:rPr>
        <w:t xml:space="preserve">: An International </w:t>
      </w:r>
      <w:proofErr w:type="spellStart"/>
      <w:r w:rsidRPr="00C4026F">
        <w:rPr>
          <w:rFonts w:ascii="Palatino Linotype" w:hAnsi="Palatino Linotype" w:cs="Times New Roman"/>
          <w:i/>
          <w:sz w:val="20"/>
          <w:szCs w:val="20"/>
        </w:rPr>
        <w:t>Journal</w:t>
      </w:r>
      <w:proofErr w:type="spellEnd"/>
      <w:r w:rsidRPr="005E0AAB">
        <w:rPr>
          <w:rFonts w:ascii="Palatino Linotype" w:hAnsi="Palatino Linotype" w:cs="Times New Roman"/>
          <w:i/>
          <w:sz w:val="20"/>
          <w:szCs w:val="20"/>
        </w:rPr>
        <w:t>, 9</w:t>
      </w:r>
      <w:r w:rsidRPr="00C4026F">
        <w:rPr>
          <w:rFonts w:ascii="Palatino Linotype" w:hAnsi="Palatino Linotype" w:cs="Times New Roman"/>
          <w:sz w:val="20"/>
          <w:szCs w:val="20"/>
        </w:rPr>
        <w:t>(3), 229-243.</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Lian, S.</w:t>
      </w:r>
      <w:r w:rsidR="00373D69">
        <w:rPr>
          <w:rFonts w:ascii="Palatino Linotype" w:hAnsi="Palatino Linotype" w:cs="Times New Roman"/>
          <w:sz w:val="20"/>
          <w:szCs w:val="20"/>
        </w:rPr>
        <w:t xml:space="preserve"> </w:t>
      </w:r>
      <w:r w:rsidRPr="00C4026F">
        <w:rPr>
          <w:rFonts w:ascii="Palatino Linotype" w:hAnsi="Palatino Linotype" w:cs="Times New Roman"/>
          <w:sz w:val="20"/>
          <w:szCs w:val="20"/>
        </w:rPr>
        <w:t>H</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Huang</w:t>
      </w:r>
      <w:proofErr w:type="spellEnd"/>
      <w:r w:rsidRPr="00C4026F">
        <w:rPr>
          <w:rFonts w:ascii="Palatino Linotype" w:hAnsi="Palatino Linotype" w:cs="Times New Roman"/>
          <w:sz w:val="20"/>
          <w:szCs w:val="20"/>
        </w:rPr>
        <w:t>, Y.</w:t>
      </w:r>
      <w:r w:rsidR="00373D69">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C. (2010). Life </w:t>
      </w:r>
      <w:proofErr w:type="spellStart"/>
      <w:r w:rsidRPr="00C4026F">
        <w:rPr>
          <w:rFonts w:ascii="Palatino Linotype" w:hAnsi="Palatino Linotype" w:cs="Times New Roman"/>
          <w:sz w:val="20"/>
          <w:szCs w:val="20"/>
        </w:rPr>
        <w:t>stress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r w:rsidRPr="00C4026F">
        <w:rPr>
          <w:rFonts w:ascii="Palatino Linotype" w:hAnsi="Palatino Linotype" w:cs="Times New Roman"/>
          <w:i/>
          <w:sz w:val="20"/>
          <w:szCs w:val="20"/>
        </w:rPr>
        <w:t xml:space="preserve">Active Learning in </w:t>
      </w:r>
      <w:proofErr w:type="spellStart"/>
      <w:r w:rsidRPr="00C4026F">
        <w:rPr>
          <w:rFonts w:ascii="Palatino Linotype" w:hAnsi="Palatino Linotype" w:cs="Times New Roman"/>
          <w:i/>
          <w:sz w:val="20"/>
          <w:szCs w:val="20"/>
        </w:rPr>
        <w:t>Higher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Education</w:t>
      </w:r>
      <w:proofErr w:type="spellEnd"/>
      <w:r w:rsidRPr="001A2728">
        <w:rPr>
          <w:rFonts w:ascii="Palatino Linotype" w:hAnsi="Palatino Linotype" w:cs="Times New Roman"/>
          <w:i/>
          <w:sz w:val="20"/>
          <w:szCs w:val="20"/>
        </w:rPr>
        <w:t>, 20</w:t>
      </w:r>
      <w:r w:rsidRPr="00C4026F">
        <w:rPr>
          <w:rFonts w:ascii="Palatino Linotype" w:hAnsi="Palatino Linotype" w:cs="Times New Roman"/>
          <w:sz w:val="20"/>
          <w:szCs w:val="20"/>
        </w:rPr>
        <w:t xml:space="preserve">(10), 1-14. </w:t>
      </w:r>
    </w:p>
    <w:p w:rsidR="00FF02D4" w:rsidRPr="00C4026F" w:rsidRDefault="00FF02D4" w:rsidP="00097D34">
      <w:pPr>
        <w:spacing w:after="60" w:line="240" w:lineRule="auto"/>
        <w:ind w:left="426" w:hanging="426"/>
        <w:jc w:val="both"/>
        <w:rPr>
          <w:rFonts w:ascii="Palatino Linotype" w:hAnsi="Palatino Linotype" w:cs="Times New Roman"/>
          <w:i/>
          <w:sz w:val="20"/>
          <w:szCs w:val="20"/>
          <w:lang w:val="en-US"/>
        </w:rPr>
      </w:pPr>
      <w:proofErr w:type="spellStart"/>
      <w:r w:rsidRPr="00C4026F">
        <w:rPr>
          <w:rFonts w:ascii="Palatino Linotype" w:hAnsi="Palatino Linotype" w:cs="Times New Roman"/>
          <w:sz w:val="20"/>
          <w:szCs w:val="20"/>
          <w:lang w:val="en-US"/>
        </w:rPr>
        <w:t>Maroco</w:t>
      </w:r>
      <w:proofErr w:type="spellEnd"/>
      <w:r w:rsidRPr="00C4026F">
        <w:rPr>
          <w:rFonts w:ascii="Palatino Linotype" w:hAnsi="Palatino Linotype" w:cs="Times New Roman"/>
          <w:sz w:val="20"/>
          <w:szCs w:val="20"/>
          <w:lang w:val="en-US"/>
        </w:rPr>
        <w:t>, J.</w:t>
      </w:r>
      <w:r w:rsidR="00D10C65">
        <w:rPr>
          <w:rFonts w:ascii="Palatino Linotype" w:hAnsi="Palatino Linotype" w:cs="Times New Roman"/>
          <w:sz w:val="20"/>
          <w:szCs w:val="20"/>
          <w:lang w:val="en-US"/>
        </w:rPr>
        <w:t xml:space="preserve"> ve</w:t>
      </w:r>
      <w:r w:rsidRPr="00C4026F">
        <w:rPr>
          <w:rFonts w:ascii="Palatino Linotype" w:hAnsi="Palatino Linotype" w:cs="Times New Roman"/>
          <w:sz w:val="20"/>
          <w:szCs w:val="20"/>
          <w:lang w:val="en-US"/>
        </w:rPr>
        <w:t xml:space="preserve"> Campos, J.</w:t>
      </w:r>
      <w:r w:rsidR="00373D69">
        <w:rPr>
          <w:rFonts w:ascii="Palatino Linotype" w:hAnsi="Palatino Linotype" w:cs="Times New Roman"/>
          <w:sz w:val="20"/>
          <w:szCs w:val="20"/>
          <w:lang w:val="en-US"/>
        </w:rPr>
        <w:t xml:space="preserve"> </w:t>
      </w:r>
      <w:r w:rsidRPr="00C4026F">
        <w:rPr>
          <w:rFonts w:ascii="Palatino Linotype" w:hAnsi="Palatino Linotype" w:cs="Times New Roman"/>
          <w:sz w:val="20"/>
          <w:szCs w:val="20"/>
          <w:lang w:val="en-US"/>
        </w:rPr>
        <w:t xml:space="preserve">A. (2012). Defining the student burnout construct: A structural analysis from three burnout inventories. </w:t>
      </w:r>
      <w:r w:rsidRPr="00C4026F">
        <w:rPr>
          <w:rFonts w:ascii="Palatino Linotype" w:hAnsi="Palatino Linotype" w:cs="Times New Roman"/>
          <w:i/>
          <w:sz w:val="20"/>
          <w:szCs w:val="20"/>
          <w:lang w:val="en-US"/>
        </w:rPr>
        <w:t>Psychological Reports: Human Resources &amp; Marketing</w:t>
      </w:r>
      <w:r w:rsidRPr="00E47366">
        <w:rPr>
          <w:rFonts w:ascii="Palatino Linotype" w:hAnsi="Palatino Linotype" w:cs="Times New Roman"/>
          <w:sz w:val="20"/>
          <w:szCs w:val="20"/>
          <w:lang w:val="en-US"/>
        </w:rPr>
        <w:t>, 111</w:t>
      </w:r>
      <w:r w:rsidRPr="00C4026F">
        <w:rPr>
          <w:rFonts w:ascii="Palatino Linotype" w:hAnsi="Palatino Linotype" w:cs="Times New Roman"/>
          <w:sz w:val="20"/>
          <w:szCs w:val="20"/>
          <w:lang w:val="en-US"/>
        </w:rPr>
        <w:t xml:space="preserve">(3), 814-830.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Maslach</w:t>
      </w:r>
      <w:proofErr w:type="spellEnd"/>
      <w:r w:rsidRPr="00C4026F">
        <w:rPr>
          <w:rFonts w:ascii="Palatino Linotype" w:hAnsi="Palatino Linotype" w:cs="Times New Roman"/>
          <w:sz w:val="20"/>
          <w:szCs w:val="20"/>
        </w:rPr>
        <w:t>, C</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Goldberg</w:t>
      </w:r>
      <w:proofErr w:type="spellEnd"/>
      <w:r w:rsidRPr="00C4026F">
        <w:rPr>
          <w:rFonts w:ascii="Palatino Linotype" w:hAnsi="Palatino Linotype" w:cs="Times New Roman"/>
          <w:sz w:val="20"/>
          <w:szCs w:val="20"/>
        </w:rPr>
        <w:t xml:space="preserve">, J. (1998). </w:t>
      </w:r>
      <w:proofErr w:type="spellStart"/>
      <w:r w:rsidRPr="00C4026F">
        <w:rPr>
          <w:rFonts w:ascii="Palatino Linotype" w:hAnsi="Palatino Linotype" w:cs="Times New Roman"/>
          <w:sz w:val="20"/>
          <w:szCs w:val="20"/>
        </w:rPr>
        <w:t>Prevention</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New </w:t>
      </w:r>
      <w:proofErr w:type="spellStart"/>
      <w:r w:rsidRPr="00C4026F">
        <w:rPr>
          <w:rFonts w:ascii="Palatino Linotype" w:hAnsi="Palatino Linotype" w:cs="Times New Roman"/>
          <w:sz w:val="20"/>
          <w:szCs w:val="20"/>
        </w:rPr>
        <w:t>perspectives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Applied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and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Preventive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Psychology</w:t>
      </w:r>
      <w:proofErr w:type="spellEnd"/>
      <w:r w:rsidRPr="00070A27">
        <w:rPr>
          <w:rFonts w:ascii="Palatino Linotype" w:hAnsi="Palatino Linotype" w:cs="Times New Roman"/>
          <w:i/>
          <w:sz w:val="20"/>
          <w:szCs w:val="20"/>
        </w:rPr>
        <w:t>, 7</w:t>
      </w:r>
      <w:r w:rsidRPr="00C4026F">
        <w:rPr>
          <w:rFonts w:ascii="Palatino Linotype" w:hAnsi="Palatino Linotype" w:cs="Times New Roman"/>
          <w:sz w:val="20"/>
          <w:szCs w:val="20"/>
        </w:rPr>
        <w:t>(1), 63-74.</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Maslach</w:t>
      </w:r>
      <w:proofErr w:type="spellEnd"/>
      <w:r w:rsidRPr="00C4026F">
        <w:rPr>
          <w:rFonts w:ascii="Palatino Linotype" w:hAnsi="Palatino Linotype" w:cs="Times New Roman"/>
          <w:sz w:val="20"/>
          <w:szCs w:val="20"/>
        </w:rPr>
        <w:t>, C</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Jackson, S.</w:t>
      </w:r>
      <w:r w:rsidR="00373D69">
        <w:rPr>
          <w:rFonts w:ascii="Palatino Linotype" w:hAnsi="Palatino Linotype" w:cs="Times New Roman"/>
          <w:sz w:val="20"/>
          <w:szCs w:val="20"/>
        </w:rPr>
        <w:t xml:space="preserve"> </w:t>
      </w:r>
      <w:r w:rsidRPr="00C4026F">
        <w:rPr>
          <w:rFonts w:ascii="Palatino Linotype" w:hAnsi="Palatino Linotype" w:cs="Times New Roman"/>
          <w:sz w:val="20"/>
          <w:szCs w:val="20"/>
        </w:rPr>
        <w:t>E</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Leiter</w:t>
      </w:r>
      <w:proofErr w:type="spellEnd"/>
      <w:r w:rsidRPr="00C4026F">
        <w:rPr>
          <w:rFonts w:ascii="Palatino Linotype" w:hAnsi="Palatino Linotype" w:cs="Times New Roman"/>
          <w:sz w:val="20"/>
          <w:szCs w:val="20"/>
        </w:rPr>
        <w:t>, M.</w:t>
      </w:r>
      <w:r w:rsidR="00373D69">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P. (1996). </w:t>
      </w:r>
      <w:proofErr w:type="spellStart"/>
      <w:r w:rsidRPr="00C4026F">
        <w:rPr>
          <w:rFonts w:ascii="Palatino Linotype" w:hAnsi="Palatino Linotype" w:cs="Times New Roman"/>
          <w:i/>
          <w:sz w:val="20"/>
          <w:szCs w:val="20"/>
        </w:rPr>
        <w:t>Maslach</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burnout</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inventory</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manual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Palo</w:t>
      </w:r>
      <w:proofErr w:type="spellEnd"/>
      <w:r w:rsidRPr="00C4026F">
        <w:rPr>
          <w:rFonts w:ascii="Palatino Linotype" w:hAnsi="Palatino Linotype" w:cs="Times New Roman"/>
          <w:sz w:val="20"/>
          <w:szCs w:val="20"/>
        </w:rPr>
        <w:t xml:space="preserve"> Alto, CA: </w:t>
      </w:r>
      <w:proofErr w:type="spellStart"/>
      <w:r w:rsidRPr="00C4026F">
        <w:rPr>
          <w:rFonts w:ascii="Palatino Linotype" w:hAnsi="Palatino Linotype" w:cs="Times New Roman"/>
          <w:sz w:val="20"/>
          <w:szCs w:val="20"/>
        </w:rPr>
        <w:t>Consulting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Psychologists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Press</w:t>
      </w:r>
      <w:proofErr w:type="spellEnd"/>
      <w:r w:rsidRPr="00C4026F">
        <w:rPr>
          <w:rFonts w:ascii="Palatino Linotype" w:hAnsi="Palatino Linotype" w:cs="Times New Roman"/>
          <w:sz w:val="20"/>
          <w:szCs w:val="20"/>
        </w:rPr>
        <w:t>.</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Maslach</w:t>
      </w:r>
      <w:proofErr w:type="spellEnd"/>
      <w:r w:rsidRPr="00C4026F">
        <w:rPr>
          <w:rFonts w:ascii="Palatino Linotype" w:hAnsi="Palatino Linotype" w:cs="Times New Roman"/>
          <w:sz w:val="20"/>
          <w:szCs w:val="20"/>
        </w:rPr>
        <w:t>, C</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Schaufeli</w:t>
      </w:r>
      <w:proofErr w:type="spellEnd"/>
      <w:r w:rsidRPr="00C4026F">
        <w:rPr>
          <w:rFonts w:ascii="Palatino Linotype" w:hAnsi="Palatino Linotype" w:cs="Times New Roman"/>
          <w:sz w:val="20"/>
          <w:szCs w:val="20"/>
        </w:rPr>
        <w:t>, W.</w:t>
      </w:r>
      <w:r w:rsidR="00373D69">
        <w:rPr>
          <w:rFonts w:ascii="Palatino Linotype" w:hAnsi="Palatino Linotype" w:cs="Times New Roman"/>
          <w:sz w:val="20"/>
          <w:szCs w:val="20"/>
        </w:rPr>
        <w:t xml:space="preserve"> </w:t>
      </w:r>
      <w:r w:rsidRPr="00C4026F">
        <w:rPr>
          <w:rFonts w:ascii="Palatino Linotype" w:hAnsi="Palatino Linotype" w:cs="Times New Roman"/>
          <w:sz w:val="20"/>
          <w:szCs w:val="20"/>
        </w:rPr>
        <w:t>B</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Leiter</w:t>
      </w:r>
      <w:proofErr w:type="spellEnd"/>
      <w:r w:rsidRPr="00C4026F">
        <w:rPr>
          <w:rFonts w:ascii="Palatino Linotype" w:hAnsi="Palatino Linotype" w:cs="Times New Roman"/>
          <w:sz w:val="20"/>
          <w:szCs w:val="20"/>
        </w:rPr>
        <w:t>, M.</w:t>
      </w:r>
      <w:r w:rsidR="00373D69">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P. (2001). </w:t>
      </w:r>
      <w:proofErr w:type="spellStart"/>
      <w:r w:rsidRPr="00C4026F">
        <w:rPr>
          <w:rFonts w:ascii="Palatino Linotype" w:hAnsi="Palatino Linotype" w:cs="Times New Roman"/>
          <w:sz w:val="20"/>
          <w:szCs w:val="20"/>
        </w:rPr>
        <w:t>Job</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Annual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Review</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Psychology</w:t>
      </w:r>
      <w:proofErr w:type="spellEnd"/>
      <w:r w:rsidRPr="00C24F39">
        <w:rPr>
          <w:rFonts w:ascii="Palatino Linotype" w:hAnsi="Palatino Linotype" w:cs="Times New Roman"/>
          <w:i/>
          <w:sz w:val="20"/>
          <w:szCs w:val="20"/>
        </w:rPr>
        <w:t>, 52</w:t>
      </w:r>
      <w:r w:rsidRPr="00C4026F">
        <w:rPr>
          <w:rFonts w:ascii="Palatino Linotype" w:hAnsi="Palatino Linotype" w:cs="Times New Roman"/>
          <w:sz w:val="20"/>
          <w:szCs w:val="20"/>
        </w:rPr>
        <w:t>(1), 397-442.</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Meier</w:t>
      </w:r>
      <w:proofErr w:type="spellEnd"/>
      <w:r w:rsidRPr="00C4026F">
        <w:rPr>
          <w:rFonts w:ascii="Palatino Linotype" w:hAnsi="Palatino Linotype" w:cs="Times New Roman"/>
          <w:sz w:val="20"/>
          <w:szCs w:val="20"/>
        </w:rPr>
        <w:t>, S.</w:t>
      </w:r>
      <w:r w:rsidR="00373D69">
        <w:rPr>
          <w:rFonts w:ascii="Palatino Linotype" w:hAnsi="Palatino Linotype" w:cs="Times New Roman"/>
          <w:sz w:val="20"/>
          <w:szCs w:val="20"/>
        </w:rPr>
        <w:t xml:space="preserve"> </w:t>
      </w:r>
      <w:r w:rsidRPr="00C4026F">
        <w:rPr>
          <w:rFonts w:ascii="Palatino Linotype" w:hAnsi="Palatino Linotype" w:cs="Times New Roman"/>
          <w:sz w:val="20"/>
          <w:szCs w:val="20"/>
        </w:rPr>
        <w:t>F</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Schmeck</w:t>
      </w:r>
      <w:proofErr w:type="spellEnd"/>
      <w:r w:rsidRPr="00C4026F">
        <w:rPr>
          <w:rFonts w:ascii="Palatino Linotype" w:hAnsi="Palatino Linotype" w:cs="Times New Roman"/>
          <w:sz w:val="20"/>
          <w:szCs w:val="20"/>
        </w:rPr>
        <w:t>, R.</w:t>
      </w:r>
      <w:r w:rsidR="00373D69">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R. (1985).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burned-out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college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w:t>
      </w:r>
      <w:proofErr w:type="spellEnd"/>
      <w:r w:rsidRPr="00C4026F">
        <w:rPr>
          <w:rFonts w:ascii="Palatino Linotype" w:hAnsi="Palatino Linotype" w:cs="Times New Roman"/>
          <w:sz w:val="20"/>
          <w:szCs w:val="20"/>
        </w:rPr>
        <w:t xml:space="preserve">: A </w:t>
      </w:r>
      <w:proofErr w:type="spellStart"/>
      <w:r w:rsidRPr="00C4026F">
        <w:rPr>
          <w:rFonts w:ascii="Palatino Linotype" w:hAnsi="Palatino Linotype" w:cs="Times New Roman"/>
          <w:sz w:val="20"/>
          <w:szCs w:val="20"/>
        </w:rPr>
        <w:t>descriptive</w:t>
      </w:r>
      <w:proofErr w:type="spellEnd"/>
      <w:r w:rsidRPr="00C4026F">
        <w:rPr>
          <w:rFonts w:ascii="Palatino Linotype" w:hAnsi="Palatino Linotype" w:cs="Times New Roman"/>
          <w:sz w:val="20"/>
          <w:szCs w:val="20"/>
        </w:rPr>
        <w:t xml:space="preserve"> </w:t>
      </w:r>
      <w:proofErr w:type="gramStart"/>
      <w:r w:rsidRPr="00C4026F">
        <w:rPr>
          <w:rFonts w:ascii="Palatino Linotype" w:hAnsi="Palatino Linotype" w:cs="Times New Roman"/>
          <w:sz w:val="20"/>
          <w:szCs w:val="20"/>
        </w:rPr>
        <w:t>profile</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College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Student</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Personal</w:t>
      </w:r>
      <w:proofErr w:type="spellEnd"/>
      <w:r w:rsidRPr="00CE4D61">
        <w:rPr>
          <w:rFonts w:ascii="Palatino Linotype" w:hAnsi="Palatino Linotype" w:cs="Times New Roman"/>
          <w:i/>
          <w:sz w:val="20"/>
          <w:szCs w:val="20"/>
        </w:rPr>
        <w:t>, 26</w:t>
      </w:r>
      <w:r w:rsidRPr="00C4026F">
        <w:rPr>
          <w:rFonts w:ascii="Palatino Linotype" w:hAnsi="Palatino Linotype" w:cs="Times New Roman"/>
          <w:sz w:val="20"/>
          <w:szCs w:val="20"/>
        </w:rPr>
        <w:t>(1), 63-69.</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Neumann</w:t>
      </w:r>
      <w:proofErr w:type="spellEnd"/>
      <w:r w:rsidRPr="00C4026F">
        <w:rPr>
          <w:rFonts w:ascii="Palatino Linotype" w:hAnsi="Palatino Linotype" w:cs="Times New Roman"/>
          <w:sz w:val="20"/>
          <w:szCs w:val="20"/>
        </w:rPr>
        <w:t>, Y</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Finaly-Neumann</w:t>
      </w:r>
      <w:proofErr w:type="spellEnd"/>
      <w:r w:rsidRPr="00C4026F">
        <w:rPr>
          <w:rFonts w:ascii="Palatino Linotype" w:hAnsi="Palatino Linotype" w:cs="Times New Roman"/>
          <w:sz w:val="20"/>
          <w:szCs w:val="20"/>
        </w:rPr>
        <w:t>, E</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Reichel</w:t>
      </w:r>
      <w:proofErr w:type="spellEnd"/>
      <w:r w:rsidRPr="00C4026F">
        <w:rPr>
          <w:rFonts w:ascii="Palatino Linotype" w:hAnsi="Palatino Linotype" w:cs="Times New Roman"/>
          <w:sz w:val="20"/>
          <w:szCs w:val="20"/>
        </w:rPr>
        <w:t xml:space="preserve">, A. (1990). </w:t>
      </w:r>
      <w:proofErr w:type="spellStart"/>
      <w:r w:rsidRPr="00C4026F">
        <w:rPr>
          <w:rFonts w:ascii="Palatino Linotype" w:hAnsi="Palatino Linotype" w:cs="Times New Roman"/>
          <w:sz w:val="20"/>
          <w:szCs w:val="20"/>
        </w:rPr>
        <w:t>Determinants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consequences</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universities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Higher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Education</w:t>
      </w:r>
      <w:proofErr w:type="spellEnd"/>
      <w:r w:rsidRPr="001A0E6F">
        <w:rPr>
          <w:rFonts w:ascii="Palatino Linotype" w:hAnsi="Palatino Linotype" w:cs="Times New Roman"/>
          <w:i/>
          <w:sz w:val="20"/>
          <w:szCs w:val="20"/>
        </w:rPr>
        <w:t>, 61</w:t>
      </w:r>
      <w:r w:rsidRPr="00C4026F">
        <w:rPr>
          <w:rFonts w:ascii="Palatino Linotype" w:hAnsi="Palatino Linotype" w:cs="Times New Roman"/>
          <w:sz w:val="20"/>
          <w:szCs w:val="20"/>
        </w:rPr>
        <w:t>(1), 20-31.</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Nunnally</w:t>
      </w:r>
      <w:proofErr w:type="spellEnd"/>
      <w:r w:rsidRPr="00C4026F">
        <w:rPr>
          <w:rFonts w:ascii="Palatino Linotype" w:hAnsi="Palatino Linotype" w:cs="Times New Roman"/>
          <w:sz w:val="20"/>
          <w:szCs w:val="20"/>
        </w:rPr>
        <w:t>, J.</w:t>
      </w:r>
      <w:r w:rsidR="006E2F36">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C. (1978). </w:t>
      </w:r>
      <w:proofErr w:type="spellStart"/>
      <w:r w:rsidRPr="00C4026F">
        <w:rPr>
          <w:rFonts w:ascii="Palatino Linotype" w:hAnsi="Palatino Linotype" w:cs="Times New Roman"/>
          <w:i/>
          <w:sz w:val="20"/>
          <w:szCs w:val="20"/>
        </w:rPr>
        <w:t>Psychometric</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theory</w:t>
      </w:r>
      <w:proofErr w:type="spellEnd"/>
      <w:r w:rsidRPr="00C4026F">
        <w:rPr>
          <w:rFonts w:ascii="Palatino Linotype" w:hAnsi="Palatino Linotype" w:cs="Times New Roman"/>
          <w:sz w:val="20"/>
          <w:szCs w:val="20"/>
        </w:rPr>
        <w:t xml:space="preserve">. New York: </w:t>
      </w:r>
      <w:proofErr w:type="spellStart"/>
      <w:r w:rsidRPr="00C4026F">
        <w:rPr>
          <w:rFonts w:ascii="Palatino Linotype" w:hAnsi="Palatino Linotype" w:cs="Times New Roman"/>
          <w:sz w:val="20"/>
          <w:szCs w:val="20"/>
        </w:rPr>
        <w:t>McGraw-Hill</w:t>
      </w:r>
      <w:proofErr w:type="spellEnd"/>
      <w:r w:rsidRPr="00C4026F">
        <w:rPr>
          <w:rFonts w:ascii="Palatino Linotype" w:hAnsi="Palatino Linotype" w:cs="Times New Roman"/>
          <w:sz w:val="20"/>
          <w:szCs w:val="20"/>
        </w:rPr>
        <w:t>.</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 xml:space="preserve">Özdamar, K. (2010).  </w:t>
      </w:r>
      <w:r w:rsidRPr="00C4026F">
        <w:rPr>
          <w:rFonts w:ascii="Palatino Linotype" w:hAnsi="Palatino Linotype" w:cs="Times New Roman"/>
          <w:i/>
          <w:sz w:val="20"/>
          <w:szCs w:val="20"/>
        </w:rPr>
        <w:t>Paket programlar ile istatistiksel veri analizi 2 (Çok değişkenli analizler).</w:t>
      </w:r>
      <w:r w:rsidRPr="00C4026F">
        <w:rPr>
          <w:rFonts w:ascii="Palatino Linotype" w:hAnsi="Palatino Linotype" w:cs="Times New Roman"/>
          <w:sz w:val="20"/>
          <w:szCs w:val="20"/>
        </w:rPr>
        <w:t xml:space="preserve"> Eskişehir: Kaan Kitabevi.</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Pallant</w:t>
      </w:r>
      <w:proofErr w:type="spellEnd"/>
      <w:r w:rsidRPr="00C4026F">
        <w:rPr>
          <w:rFonts w:ascii="Palatino Linotype" w:hAnsi="Palatino Linotype" w:cs="Times New Roman"/>
          <w:sz w:val="20"/>
          <w:szCs w:val="20"/>
        </w:rPr>
        <w:t xml:space="preserve">, J. (2005). </w:t>
      </w:r>
      <w:r w:rsidRPr="00C4026F">
        <w:rPr>
          <w:rFonts w:ascii="Palatino Linotype" w:hAnsi="Palatino Linotype" w:cs="Times New Roman"/>
          <w:i/>
          <w:sz w:val="20"/>
          <w:szCs w:val="20"/>
        </w:rPr>
        <w:t xml:space="preserve">SPSS </w:t>
      </w:r>
      <w:proofErr w:type="spellStart"/>
      <w:r w:rsidRPr="00C4026F">
        <w:rPr>
          <w:rFonts w:ascii="Palatino Linotype" w:hAnsi="Palatino Linotype" w:cs="Times New Roman"/>
          <w:i/>
          <w:sz w:val="20"/>
          <w:szCs w:val="20"/>
        </w:rPr>
        <w:t>survival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manual</w:t>
      </w:r>
      <w:proofErr w:type="spellEnd"/>
      <w:r w:rsidRPr="00C4026F">
        <w:rPr>
          <w:rFonts w:ascii="Palatino Linotype" w:hAnsi="Palatino Linotype" w:cs="Times New Roman"/>
          <w:i/>
          <w:sz w:val="20"/>
          <w:szCs w:val="20"/>
        </w:rPr>
        <w:t xml:space="preserve">: A step </w:t>
      </w:r>
      <w:proofErr w:type="spellStart"/>
      <w:r w:rsidRPr="00C4026F">
        <w:rPr>
          <w:rFonts w:ascii="Palatino Linotype" w:hAnsi="Palatino Linotype" w:cs="Times New Roman"/>
          <w:i/>
          <w:sz w:val="20"/>
          <w:szCs w:val="20"/>
        </w:rPr>
        <w:t>by</w:t>
      </w:r>
      <w:proofErr w:type="spellEnd"/>
      <w:r w:rsidRPr="00C4026F">
        <w:rPr>
          <w:rFonts w:ascii="Palatino Linotype" w:hAnsi="Palatino Linotype" w:cs="Times New Roman"/>
          <w:i/>
          <w:sz w:val="20"/>
          <w:szCs w:val="20"/>
        </w:rPr>
        <w:t xml:space="preserve"> step </w:t>
      </w:r>
      <w:proofErr w:type="spellStart"/>
      <w:r w:rsidRPr="00C4026F">
        <w:rPr>
          <w:rFonts w:ascii="Palatino Linotype" w:hAnsi="Palatino Linotype" w:cs="Times New Roman"/>
          <w:i/>
          <w:sz w:val="20"/>
          <w:szCs w:val="20"/>
        </w:rPr>
        <w:t>guide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to</w:t>
      </w:r>
      <w:proofErr w:type="spellEnd"/>
      <w:r w:rsidRPr="00C4026F">
        <w:rPr>
          <w:rFonts w:ascii="Palatino Linotype" w:hAnsi="Palatino Linotype" w:cs="Times New Roman"/>
          <w:i/>
          <w:sz w:val="20"/>
          <w:szCs w:val="20"/>
        </w:rPr>
        <w:t xml:space="preserve"> </w:t>
      </w:r>
      <w:proofErr w:type="gramStart"/>
      <w:r w:rsidRPr="00C4026F">
        <w:rPr>
          <w:rFonts w:ascii="Palatino Linotype" w:hAnsi="Palatino Linotype" w:cs="Times New Roman"/>
          <w:i/>
          <w:sz w:val="20"/>
          <w:szCs w:val="20"/>
        </w:rPr>
        <w:t>data</w:t>
      </w:r>
      <w:proofErr w:type="gram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analysis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using</w:t>
      </w:r>
      <w:proofErr w:type="spellEnd"/>
      <w:r w:rsidRPr="00C4026F">
        <w:rPr>
          <w:rFonts w:ascii="Palatino Linotype" w:hAnsi="Palatino Linotype" w:cs="Times New Roman"/>
          <w:i/>
          <w:sz w:val="20"/>
          <w:szCs w:val="20"/>
        </w:rPr>
        <w:t xml:space="preserve"> SPSS </w:t>
      </w:r>
      <w:proofErr w:type="spellStart"/>
      <w:r w:rsidRPr="00C4026F">
        <w:rPr>
          <w:rFonts w:ascii="Palatino Linotype" w:hAnsi="Palatino Linotype" w:cs="Times New Roman"/>
          <w:i/>
          <w:sz w:val="20"/>
          <w:szCs w:val="20"/>
        </w:rPr>
        <w:t>for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windows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Australia</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Australian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Copyright</w:t>
      </w:r>
      <w:proofErr w:type="spellEnd"/>
      <w:r w:rsidRPr="00C4026F">
        <w:rPr>
          <w:rFonts w:ascii="Palatino Linotype" w:hAnsi="Palatino Linotype" w:cs="Times New Roman"/>
          <w:sz w:val="20"/>
          <w:szCs w:val="20"/>
        </w:rPr>
        <w:t>.</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Parker</w:t>
      </w:r>
      <w:proofErr w:type="spellEnd"/>
      <w:r w:rsidRPr="00C4026F">
        <w:rPr>
          <w:rFonts w:ascii="Palatino Linotype" w:hAnsi="Palatino Linotype" w:cs="Times New Roman"/>
          <w:sz w:val="20"/>
          <w:szCs w:val="20"/>
        </w:rPr>
        <w:t>, P.</w:t>
      </w:r>
      <w:r w:rsidR="006E2F36">
        <w:rPr>
          <w:rFonts w:ascii="Palatino Linotype" w:hAnsi="Palatino Linotype" w:cs="Times New Roman"/>
          <w:sz w:val="20"/>
          <w:szCs w:val="20"/>
        </w:rPr>
        <w:t xml:space="preserve"> </w:t>
      </w:r>
      <w:r w:rsidRPr="00C4026F">
        <w:rPr>
          <w:rFonts w:ascii="Palatino Linotype" w:hAnsi="Palatino Linotype" w:cs="Times New Roman"/>
          <w:sz w:val="20"/>
          <w:szCs w:val="20"/>
        </w:rPr>
        <w:t>D</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Salmena-Aro</w:t>
      </w:r>
      <w:proofErr w:type="spellEnd"/>
      <w:r w:rsidRPr="00C4026F">
        <w:rPr>
          <w:rFonts w:ascii="Palatino Linotype" w:hAnsi="Palatino Linotype" w:cs="Times New Roman"/>
          <w:sz w:val="20"/>
          <w:szCs w:val="20"/>
        </w:rPr>
        <w:t xml:space="preserve">, K. (2011). </w:t>
      </w:r>
      <w:proofErr w:type="spellStart"/>
      <w:r w:rsidRPr="00C4026F">
        <w:rPr>
          <w:rFonts w:ascii="Palatino Linotype" w:hAnsi="Palatino Linotype" w:cs="Times New Roman"/>
          <w:sz w:val="20"/>
          <w:szCs w:val="20"/>
        </w:rPr>
        <w:t>Developmental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processes</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school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A </w:t>
      </w:r>
      <w:proofErr w:type="spellStart"/>
      <w:r w:rsidRPr="00C4026F">
        <w:rPr>
          <w:rFonts w:ascii="Palatino Linotype" w:hAnsi="Palatino Linotype" w:cs="Times New Roman"/>
          <w:sz w:val="20"/>
          <w:szCs w:val="20"/>
        </w:rPr>
        <w:t>comparison</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major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developmental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models</w:t>
      </w:r>
      <w:proofErr w:type="spellEnd"/>
      <w:r w:rsidRPr="00C4026F">
        <w:rPr>
          <w:rFonts w:ascii="Palatino Linotype" w:hAnsi="Palatino Linotype" w:cs="Times New Roman"/>
          <w:sz w:val="20"/>
          <w:szCs w:val="20"/>
        </w:rPr>
        <w:t xml:space="preserve">. </w:t>
      </w:r>
      <w:r w:rsidRPr="00C4026F">
        <w:rPr>
          <w:rFonts w:ascii="Palatino Linotype" w:hAnsi="Palatino Linotype" w:cs="Times New Roman"/>
          <w:i/>
          <w:sz w:val="20"/>
          <w:szCs w:val="20"/>
        </w:rPr>
        <w:t xml:space="preserve">Learning </w:t>
      </w:r>
      <w:proofErr w:type="spellStart"/>
      <w:r w:rsidRPr="00C4026F">
        <w:rPr>
          <w:rFonts w:ascii="Palatino Linotype" w:hAnsi="Palatino Linotype" w:cs="Times New Roman"/>
          <w:i/>
          <w:sz w:val="20"/>
          <w:szCs w:val="20"/>
        </w:rPr>
        <w:t>and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Individual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Differences</w:t>
      </w:r>
      <w:proofErr w:type="spellEnd"/>
      <w:r w:rsidRPr="00C82F51">
        <w:rPr>
          <w:rFonts w:ascii="Palatino Linotype" w:hAnsi="Palatino Linotype" w:cs="Times New Roman"/>
          <w:i/>
          <w:sz w:val="20"/>
          <w:szCs w:val="20"/>
        </w:rPr>
        <w:t>, 21</w:t>
      </w:r>
      <w:r w:rsidRPr="00C4026F">
        <w:rPr>
          <w:rFonts w:ascii="Palatino Linotype" w:hAnsi="Palatino Linotype" w:cs="Times New Roman"/>
          <w:sz w:val="20"/>
          <w:szCs w:val="20"/>
        </w:rPr>
        <w:t xml:space="preserve">(2), 244-248.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Pines, A</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Aronson</w:t>
      </w:r>
      <w:proofErr w:type="spellEnd"/>
      <w:r w:rsidRPr="00C4026F">
        <w:rPr>
          <w:rFonts w:ascii="Palatino Linotype" w:hAnsi="Palatino Linotype" w:cs="Times New Roman"/>
          <w:sz w:val="20"/>
          <w:szCs w:val="20"/>
        </w:rPr>
        <w:t>, E</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Kafry</w:t>
      </w:r>
      <w:proofErr w:type="spellEnd"/>
      <w:r w:rsidRPr="00C4026F">
        <w:rPr>
          <w:rFonts w:ascii="Palatino Linotype" w:hAnsi="Palatino Linotype" w:cs="Times New Roman"/>
          <w:sz w:val="20"/>
          <w:szCs w:val="20"/>
        </w:rPr>
        <w:t xml:space="preserve">, D. (1981). </w:t>
      </w:r>
      <w:proofErr w:type="spellStart"/>
      <w:r w:rsidRPr="00C4026F">
        <w:rPr>
          <w:rFonts w:ascii="Palatino Linotype" w:hAnsi="Palatino Linotype" w:cs="Times New Roman"/>
          <w:i/>
          <w:sz w:val="20"/>
          <w:szCs w:val="20"/>
        </w:rPr>
        <w:t>Burnout</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from</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tedium</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to</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personal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growth</w:t>
      </w:r>
      <w:proofErr w:type="spellEnd"/>
      <w:r w:rsidRPr="00C4026F">
        <w:rPr>
          <w:rFonts w:ascii="Palatino Linotype" w:hAnsi="Palatino Linotype" w:cs="Times New Roman"/>
          <w:sz w:val="20"/>
          <w:szCs w:val="20"/>
        </w:rPr>
        <w:t xml:space="preserve">. New York: </w:t>
      </w:r>
      <w:proofErr w:type="spellStart"/>
      <w:r w:rsidRPr="00C4026F">
        <w:rPr>
          <w:rFonts w:ascii="Palatino Linotype" w:hAnsi="Palatino Linotype" w:cs="Times New Roman"/>
          <w:sz w:val="20"/>
          <w:szCs w:val="20"/>
        </w:rPr>
        <w:t>Free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Press</w:t>
      </w:r>
      <w:proofErr w:type="spellEnd"/>
      <w:r w:rsidRPr="00C4026F">
        <w:rPr>
          <w:rFonts w:ascii="Palatino Linotype" w:hAnsi="Palatino Linotype" w:cs="Times New Roman"/>
          <w:sz w:val="20"/>
          <w:szCs w:val="20"/>
        </w:rPr>
        <w:t>.</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Raines-Eudy</w:t>
      </w:r>
      <w:proofErr w:type="spellEnd"/>
      <w:r w:rsidRPr="00C4026F">
        <w:rPr>
          <w:rFonts w:ascii="Palatino Linotype" w:hAnsi="Palatino Linotype" w:cs="Times New Roman"/>
          <w:sz w:val="20"/>
          <w:szCs w:val="20"/>
        </w:rPr>
        <w:t xml:space="preserve">, R. (2000). Using </w:t>
      </w:r>
      <w:proofErr w:type="spellStart"/>
      <w:r w:rsidRPr="00C4026F">
        <w:rPr>
          <w:rFonts w:ascii="Palatino Linotype" w:hAnsi="Palatino Linotype" w:cs="Times New Roman"/>
          <w:sz w:val="20"/>
          <w:szCs w:val="20"/>
        </w:rPr>
        <w:t>structural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equation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modeling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to</w:t>
      </w:r>
      <w:proofErr w:type="spellEnd"/>
      <w:r w:rsidRPr="00C4026F">
        <w:rPr>
          <w:rFonts w:ascii="Palatino Linotype" w:hAnsi="Palatino Linotype" w:cs="Times New Roman"/>
          <w:sz w:val="20"/>
          <w:szCs w:val="20"/>
        </w:rPr>
        <w:t xml:space="preserve"> test </w:t>
      </w:r>
      <w:proofErr w:type="spellStart"/>
      <w:r w:rsidRPr="00C4026F">
        <w:rPr>
          <w:rFonts w:ascii="Palatino Linotype" w:hAnsi="Palatino Linotype" w:cs="Times New Roman"/>
          <w:sz w:val="20"/>
          <w:szCs w:val="20"/>
        </w:rPr>
        <w:t>for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differential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reliability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validity</w:t>
      </w:r>
      <w:proofErr w:type="spellEnd"/>
      <w:r w:rsidRPr="00C4026F">
        <w:rPr>
          <w:rFonts w:ascii="Palatino Linotype" w:hAnsi="Palatino Linotype" w:cs="Times New Roman"/>
          <w:sz w:val="20"/>
          <w:szCs w:val="20"/>
        </w:rPr>
        <w:t xml:space="preserve">: An </w:t>
      </w:r>
      <w:proofErr w:type="spellStart"/>
      <w:r w:rsidRPr="00C4026F">
        <w:rPr>
          <w:rFonts w:ascii="Palatino Linotype" w:hAnsi="Palatino Linotype" w:cs="Times New Roman"/>
          <w:sz w:val="20"/>
          <w:szCs w:val="20"/>
        </w:rPr>
        <w:t>empirical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demonstration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Structural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equation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modeling</w:t>
      </w:r>
      <w:proofErr w:type="spellEnd"/>
      <w:r w:rsidRPr="00C4026F">
        <w:rPr>
          <w:rFonts w:ascii="Palatino Linotype" w:hAnsi="Palatino Linotype" w:cs="Times New Roman"/>
          <w:sz w:val="20"/>
          <w:szCs w:val="20"/>
        </w:rPr>
        <w:t xml:space="preserve">: </w:t>
      </w:r>
      <w:r w:rsidRPr="00C4026F">
        <w:rPr>
          <w:rFonts w:ascii="Palatino Linotype" w:hAnsi="Palatino Linotype" w:cs="Times New Roman"/>
          <w:i/>
          <w:sz w:val="20"/>
          <w:szCs w:val="20"/>
        </w:rPr>
        <w:t xml:space="preserve">A </w:t>
      </w:r>
      <w:proofErr w:type="spellStart"/>
      <w:r w:rsidRPr="00C4026F">
        <w:rPr>
          <w:rFonts w:ascii="Palatino Linotype" w:hAnsi="Palatino Linotype" w:cs="Times New Roman"/>
          <w:i/>
          <w:sz w:val="20"/>
          <w:szCs w:val="20"/>
        </w:rPr>
        <w:t>Multidisciplinary</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Journal</w:t>
      </w:r>
      <w:proofErr w:type="spellEnd"/>
      <w:r w:rsidRPr="00682CD2">
        <w:rPr>
          <w:rFonts w:ascii="Palatino Linotype" w:hAnsi="Palatino Linotype" w:cs="Times New Roman"/>
          <w:i/>
          <w:sz w:val="20"/>
          <w:szCs w:val="20"/>
        </w:rPr>
        <w:t>, 7</w:t>
      </w:r>
      <w:r w:rsidRPr="00C4026F">
        <w:rPr>
          <w:rFonts w:ascii="Palatino Linotype" w:hAnsi="Palatino Linotype" w:cs="Times New Roman"/>
          <w:sz w:val="20"/>
          <w:szCs w:val="20"/>
        </w:rPr>
        <w:t>(1), 124-141.</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Romesburg</w:t>
      </w:r>
      <w:proofErr w:type="spellEnd"/>
      <w:r w:rsidRPr="00C4026F">
        <w:rPr>
          <w:rFonts w:ascii="Palatino Linotype" w:hAnsi="Palatino Linotype" w:cs="Times New Roman"/>
          <w:sz w:val="20"/>
          <w:szCs w:val="20"/>
        </w:rPr>
        <w:t>, H.</w:t>
      </w:r>
      <w:r w:rsidR="006E2F36">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C. (2004). </w:t>
      </w:r>
      <w:r w:rsidRPr="00C4026F">
        <w:rPr>
          <w:rFonts w:ascii="Palatino Linotype" w:hAnsi="Palatino Linotype" w:cs="Times New Roman"/>
          <w:i/>
          <w:sz w:val="20"/>
          <w:szCs w:val="20"/>
        </w:rPr>
        <w:t xml:space="preserve">Cluster </w:t>
      </w:r>
      <w:proofErr w:type="spellStart"/>
      <w:r w:rsidRPr="00C4026F">
        <w:rPr>
          <w:rFonts w:ascii="Palatino Linotype" w:hAnsi="Palatino Linotype" w:cs="Times New Roman"/>
          <w:i/>
          <w:sz w:val="20"/>
          <w:szCs w:val="20"/>
        </w:rPr>
        <w:t>analysis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for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researchers</w:t>
      </w:r>
      <w:proofErr w:type="spellEnd"/>
      <w:r w:rsidRPr="00C4026F">
        <w:rPr>
          <w:rFonts w:ascii="Palatino Linotype" w:hAnsi="Palatino Linotype" w:cs="Times New Roman"/>
          <w:i/>
          <w:sz w:val="20"/>
          <w:szCs w:val="20"/>
        </w:rPr>
        <w:t xml:space="preserve">. </w:t>
      </w:r>
      <w:r w:rsidRPr="00C4026F">
        <w:rPr>
          <w:rFonts w:ascii="Palatino Linotype" w:hAnsi="Palatino Linotype" w:cs="Times New Roman"/>
          <w:sz w:val="20"/>
          <w:szCs w:val="20"/>
        </w:rPr>
        <w:t xml:space="preserve">North Carolina: </w:t>
      </w:r>
      <w:proofErr w:type="spellStart"/>
      <w:r w:rsidRPr="00C4026F">
        <w:rPr>
          <w:rFonts w:ascii="Palatino Linotype" w:hAnsi="Palatino Linotype" w:cs="Times New Roman"/>
          <w:sz w:val="20"/>
          <w:szCs w:val="20"/>
        </w:rPr>
        <w:t>Lulu</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Press</w:t>
      </w:r>
      <w:proofErr w:type="spellEnd"/>
      <w:r w:rsidRPr="00C4026F">
        <w:rPr>
          <w:rFonts w:ascii="Palatino Linotype" w:hAnsi="Palatino Linotype" w:cs="Times New Roman"/>
          <w:sz w:val="20"/>
          <w:szCs w:val="20"/>
        </w:rPr>
        <w:t xml:space="preserve">.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Rostami</w:t>
      </w:r>
      <w:proofErr w:type="spellEnd"/>
      <w:r w:rsidRPr="00C4026F">
        <w:rPr>
          <w:rFonts w:ascii="Palatino Linotype" w:hAnsi="Palatino Linotype" w:cs="Times New Roman"/>
          <w:sz w:val="20"/>
          <w:szCs w:val="20"/>
        </w:rPr>
        <w:t xml:space="preserve"> Z</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Abedi</w:t>
      </w:r>
      <w:proofErr w:type="spellEnd"/>
      <w:r w:rsidRPr="00C4026F">
        <w:rPr>
          <w:rFonts w:ascii="Palatino Linotype" w:hAnsi="Palatino Linotype" w:cs="Times New Roman"/>
          <w:sz w:val="20"/>
          <w:szCs w:val="20"/>
        </w:rPr>
        <w:t>, M.</w:t>
      </w:r>
      <w:r w:rsidR="006E2F36">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R. (2012). </w:t>
      </w:r>
      <w:proofErr w:type="spellStart"/>
      <w:r w:rsidRPr="00C4026F">
        <w:rPr>
          <w:rFonts w:ascii="Palatino Linotype" w:hAnsi="Palatino Linotype" w:cs="Times New Roman"/>
          <w:sz w:val="20"/>
          <w:szCs w:val="20"/>
        </w:rPr>
        <w:t>Dose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predicts</w:t>
      </w:r>
      <w:proofErr w:type="spellEnd"/>
      <w:r w:rsidRPr="00C4026F">
        <w:rPr>
          <w:rFonts w:ascii="Palatino Linotype" w:hAnsi="Palatino Linotype" w:cs="Times New Roman"/>
          <w:sz w:val="20"/>
          <w:szCs w:val="20"/>
        </w:rPr>
        <w:t xml:space="preserve"> life </w:t>
      </w:r>
      <w:proofErr w:type="spellStart"/>
      <w:r w:rsidRPr="00C4026F">
        <w:rPr>
          <w:rFonts w:ascii="Palatino Linotype" w:hAnsi="Palatino Linotype" w:cs="Times New Roman"/>
          <w:sz w:val="20"/>
          <w:szCs w:val="20"/>
        </w:rPr>
        <w:t>satisfaction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or</w:t>
      </w:r>
      <w:proofErr w:type="spellEnd"/>
      <w:r w:rsidRPr="00C4026F">
        <w:rPr>
          <w:rFonts w:ascii="Palatino Linotype" w:hAnsi="Palatino Linotype" w:cs="Times New Roman"/>
          <w:sz w:val="20"/>
          <w:szCs w:val="20"/>
        </w:rPr>
        <w:t xml:space="preserve"> life </w:t>
      </w:r>
      <w:proofErr w:type="spellStart"/>
      <w:r w:rsidRPr="00C4026F">
        <w:rPr>
          <w:rFonts w:ascii="Palatino Linotype" w:hAnsi="Palatino Linotype" w:cs="Times New Roman"/>
          <w:sz w:val="20"/>
          <w:szCs w:val="20"/>
        </w:rPr>
        <w:t>satisfaction</w:t>
      </w:r>
      <w:proofErr w:type="spellEnd"/>
      <w:r w:rsidRPr="00C4026F">
        <w:rPr>
          <w:rFonts w:ascii="Palatino Linotype" w:hAnsi="Palatino Linotype" w:cs="Times New Roman"/>
          <w:sz w:val="20"/>
          <w:szCs w:val="20"/>
        </w:rPr>
        <w:t xml:space="preserve"> is </w:t>
      </w:r>
      <w:proofErr w:type="spellStart"/>
      <w:r w:rsidRPr="00C4026F">
        <w:rPr>
          <w:rFonts w:ascii="Palatino Linotype" w:hAnsi="Palatino Linotype" w:cs="Times New Roman"/>
          <w:sz w:val="20"/>
          <w:szCs w:val="20"/>
        </w:rPr>
        <w:t>predictor</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Interdisciplinary</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Contemporary</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Research</w:t>
      </w:r>
      <w:proofErr w:type="spellEnd"/>
      <w:r w:rsidRPr="00C4026F">
        <w:rPr>
          <w:rFonts w:ascii="Palatino Linotype" w:hAnsi="Palatino Linotype" w:cs="Times New Roman"/>
          <w:i/>
          <w:sz w:val="20"/>
          <w:szCs w:val="20"/>
        </w:rPr>
        <w:t xml:space="preserve"> in Business</w:t>
      </w:r>
      <w:r w:rsidRPr="00FF2B64">
        <w:rPr>
          <w:rFonts w:ascii="Palatino Linotype" w:hAnsi="Palatino Linotype" w:cs="Times New Roman"/>
          <w:i/>
          <w:sz w:val="20"/>
          <w:szCs w:val="20"/>
        </w:rPr>
        <w:t>, 3</w:t>
      </w:r>
      <w:r w:rsidRPr="00C4026F">
        <w:rPr>
          <w:rFonts w:ascii="Palatino Linotype" w:hAnsi="Palatino Linotype" w:cs="Times New Roman"/>
          <w:sz w:val="20"/>
          <w:szCs w:val="20"/>
        </w:rPr>
        <w:t>(12), 668-674.</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Rostami</w:t>
      </w:r>
      <w:proofErr w:type="spellEnd"/>
      <w:r w:rsidRPr="00C4026F">
        <w:rPr>
          <w:rFonts w:ascii="Palatino Linotype" w:hAnsi="Palatino Linotype" w:cs="Times New Roman"/>
          <w:sz w:val="20"/>
          <w:szCs w:val="20"/>
        </w:rPr>
        <w:t>, Z</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Abedi</w:t>
      </w:r>
      <w:proofErr w:type="spellEnd"/>
      <w:r w:rsidRPr="00C4026F">
        <w:rPr>
          <w:rFonts w:ascii="Palatino Linotype" w:hAnsi="Palatino Linotype" w:cs="Times New Roman"/>
          <w:sz w:val="20"/>
          <w:szCs w:val="20"/>
        </w:rPr>
        <w:t>, M.</w:t>
      </w:r>
      <w:r w:rsidR="006E2F36">
        <w:rPr>
          <w:rFonts w:ascii="Palatino Linotype" w:hAnsi="Palatino Linotype" w:cs="Times New Roman"/>
          <w:sz w:val="20"/>
          <w:szCs w:val="20"/>
        </w:rPr>
        <w:t xml:space="preserve"> </w:t>
      </w:r>
      <w:r w:rsidRPr="00C4026F">
        <w:rPr>
          <w:rFonts w:ascii="Palatino Linotype" w:hAnsi="Palatino Linotype" w:cs="Times New Roman"/>
          <w:sz w:val="20"/>
          <w:szCs w:val="20"/>
        </w:rPr>
        <w:t>R</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Schaufeli</w:t>
      </w:r>
      <w:proofErr w:type="spellEnd"/>
      <w:r w:rsidRPr="00C4026F">
        <w:rPr>
          <w:rFonts w:ascii="Palatino Linotype" w:hAnsi="Palatino Linotype" w:cs="Times New Roman"/>
          <w:sz w:val="20"/>
          <w:szCs w:val="20"/>
        </w:rPr>
        <w:t>, W.</w:t>
      </w:r>
      <w:r w:rsidR="006E2F36">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B. (2012). </w:t>
      </w:r>
      <w:proofErr w:type="spellStart"/>
      <w:r w:rsidRPr="00C4026F">
        <w:rPr>
          <w:rFonts w:ascii="Palatino Linotype" w:hAnsi="Palatino Linotype" w:cs="Times New Roman"/>
          <w:sz w:val="20"/>
          <w:szCs w:val="20"/>
        </w:rPr>
        <w:t>Dose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interest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predicts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Interdisciplinary</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Contemporary</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Research</w:t>
      </w:r>
      <w:proofErr w:type="spellEnd"/>
      <w:r w:rsidRPr="00C4026F">
        <w:rPr>
          <w:rFonts w:ascii="Palatino Linotype" w:hAnsi="Palatino Linotype" w:cs="Times New Roman"/>
          <w:i/>
          <w:sz w:val="20"/>
          <w:szCs w:val="20"/>
        </w:rPr>
        <w:t xml:space="preserve"> in Business</w:t>
      </w:r>
      <w:r w:rsidRPr="007F6FAB">
        <w:rPr>
          <w:rFonts w:ascii="Palatino Linotype" w:hAnsi="Palatino Linotype" w:cs="Times New Roman"/>
          <w:i/>
          <w:sz w:val="20"/>
          <w:szCs w:val="20"/>
        </w:rPr>
        <w:t>, 3</w:t>
      </w:r>
      <w:r w:rsidRPr="00C4026F">
        <w:rPr>
          <w:rFonts w:ascii="Palatino Linotype" w:hAnsi="Palatino Linotype" w:cs="Times New Roman"/>
          <w:sz w:val="20"/>
          <w:szCs w:val="20"/>
        </w:rPr>
        <w:t xml:space="preserve">(9), 877-895.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Sağlam Arı, G</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Çına Bal, E. (2008). Tükenmişlik kavramı: Birey ve örgütler açısından önemi. </w:t>
      </w:r>
      <w:r w:rsidRPr="00C4026F">
        <w:rPr>
          <w:rFonts w:ascii="Palatino Linotype" w:hAnsi="Palatino Linotype" w:cs="Times New Roman"/>
          <w:i/>
          <w:sz w:val="20"/>
          <w:szCs w:val="20"/>
        </w:rPr>
        <w:t>Yönetim ve Ekonomi</w:t>
      </w:r>
      <w:r w:rsidRPr="00AC759C">
        <w:rPr>
          <w:rFonts w:ascii="Palatino Linotype" w:hAnsi="Palatino Linotype" w:cs="Times New Roman"/>
          <w:i/>
          <w:sz w:val="20"/>
          <w:szCs w:val="20"/>
        </w:rPr>
        <w:t>, 15</w:t>
      </w:r>
      <w:r w:rsidRPr="00C4026F">
        <w:rPr>
          <w:rFonts w:ascii="Palatino Linotype" w:hAnsi="Palatino Linotype" w:cs="Times New Roman"/>
          <w:sz w:val="20"/>
          <w:szCs w:val="20"/>
        </w:rPr>
        <w:t xml:space="preserve">(1), 131-148.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Salmela-Aro, K</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Kiuru</w:t>
      </w:r>
      <w:proofErr w:type="spellEnd"/>
      <w:r w:rsidRPr="00C4026F">
        <w:rPr>
          <w:rFonts w:ascii="Palatino Linotype" w:hAnsi="Palatino Linotype" w:cs="Times New Roman"/>
          <w:sz w:val="20"/>
          <w:szCs w:val="20"/>
        </w:rPr>
        <w:t xml:space="preserve">, N., </w:t>
      </w:r>
      <w:proofErr w:type="spellStart"/>
      <w:r w:rsidRPr="00C4026F">
        <w:rPr>
          <w:rFonts w:ascii="Palatino Linotype" w:hAnsi="Palatino Linotype" w:cs="Times New Roman"/>
          <w:sz w:val="20"/>
          <w:szCs w:val="20"/>
        </w:rPr>
        <w:t>Leskinen</w:t>
      </w:r>
      <w:proofErr w:type="spellEnd"/>
      <w:r w:rsidRPr="00C4026F">
        <w:rPr>
          <w:rFonts w:ascii="Palatino Linotype" w:hAnsi="Palatino Linotype" w:cs="Times New Roman"/>
          <w:sz w:val="20"/>
          <w:szCs w:val="20"/>
        </w:rPr>
        <w:t>, E</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Nurmi</w:t>
      </w:r>
      <w:proofErr w:type="spellEnd"/>
      <w:r w:rsidRPr="00C4026F">
        <w:rPr>
          <w:rFonts w:ascii="Palatino Linotype" w:hAnsi="Palatino Linotype" w:cs="Times New Roman"/>
          <w:sz w:val="20"/>
          <w:szCs w:val="20"/>
        </w:rPr>
        <w:t>, J.</w:t>
      </w:r>
      <w:r w:rsidR="006E2F36">
        <w:rPr>
          <w:rFonts w:ascii="Palatino Linotype" w:hAnsi="Palatino Linotype" w:cs="Times New Roman"/>
          <w:sz w:val="20"/>
          <w:szCs w:val="20"/>
        </w:rPr>
        <w:t xml:space="preserve"> </w:t>
      </w:r>
      <w:r w:rsidRPr="00C4026F">
        <w:rPr>
          <w:rFonts w:ascii="Palatino Linotype" w:hAnsi="Palatino Linotype" w:cs="Times New Roman"/>
          <w:sz w:val="20"/>
          <w:szCs w:val="20"/>
        </w:rPr>
        <w:t>E. (2009). School-</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inventory</w:t>
      </w:r>
      <w:proofErr w:type="spellEnd"/>
      <w:r w:rsidRPr="00C4026F">
        <w:rPr>
          <w:rFonts w:ascii="Palatino Linotype" w:hAnsi="Palatino Linotype" w:cs="Times New Roman"/>
          <w:sz w:val="20"/>
          <w:szCs w:val="20"/>
        </w:rPr>
        <w:t xml:space="preserve"> (SBI) </w:t>
      </w:r>
      <w:proofErr w:type="spellStart"/>
      <w:r w:rsidRPr="00C4026F">
        <w:rPr>
          <w:rFonts w:ascii="Palatino Linotype" w:hAnsi="Palatino Linotype" w:cs="Times New Roman"/>
          <w:sz w:val="20"/>
          <w:szCs w:val="20"/>
        </w:rPr>
        <w:t>Reliability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validity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European</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Psychological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Assessment</w:t>
      </w:r>
      <w:proofErr w:type="spellEnd"/>
      <w:r w:rsidRPr="003810A5">
        <w:rPr>
          <w:rFonts w:ascii="Palatino Linotype" w:hAnsi="Palatino Linotype" w:cs="Times New Roman"/>
          <w:i/>
          <w:sz w:val="20"/>
          <w:szCs w:val="20"/>
        </w:rPr>
        <w:t>, 25</w:t>
      </w:r>
      <w:r w:rsidRPr="00C4026F">
        <w:rPr>
          <w:rFonts w:ascii="Palatino Linotype" w:hAnsi="Palatino Linotype" w:cs="Times New Roman"/>
          <w:sz w:val="20"/>
          <w:szCs w:val="20"/>
        </w:rPr>
        <w:t xml:space="preserve">(1), 48-57.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Salmela-Aro, K</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Kiuru</w:t>
      </w:r>
      <w:proofErr w:type="spellEnd"/>
      <w:r w:rsidRPr="00C4026F">
        <w:rPr>
          <w:rFonts w:ascii="Palatino Linotype" w:hAnsi="Palatino Linotype" w:cs="Times New Roman"/>
          <w:sz w:val="20"/>
          <w:szCs w:val="20"/>
        </w:rPr>
        <w:t xml:space="preserve">, N., </w:t>
      </w:r>
      <w:proofErr w:type="spellStart"/>
      <w:r w:rsidRPr="00C4026F">
        <w:rPr>
          <w:rFonts w:ascii="Palatino Linotype" w:hAnsi="Palatino Linotype" w:cs="Times New Roman"/>
          <w:sz w:val="20"/>
          <w:szCs w:val="20"/>
        </w:rPr>
        <w:t>Pietikäinen</w:t>
      </w:r>
      <w:proofErr w:type="spellEnd"/>
      <w:r w:rsidRPr="00C4026F">
        <w:rPr>
          <w:rFonts w:ascii="Palatino Linotype" w:hAnsi="Palatino Linotype" w:cs="Times New Roman"/>
          <w:sz w:val="20"/>
          <w:szCs w:val="20"/>
        </w:rPr>
        <w:t>, M</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Jokela</w:t>
      </w:r>
      <w:proofErr w:type="spellEnd"/>
      <w:r w:rsidRPr="00C4026F">
        <w:rPr>
          <w:rFonts w:ascii="Palatino Linotype" w:hAnsi="Palatino Linotype" w:cs="Times New Roman"/>
          <w:sz w:val="20"/>
          <w:szCs w:val="20"/>
        </w:rPr>
        <w:t xml:space="preserve">, J. (2008). </w:t>
      </w:r>
      <w:proofErr w:type="spellStart"/>
      <w:r w:rsidRPr="00C4026F">
        <w:rPr>
          <w:rFonts w:ascii="Palatino Linotype" w:hAnsi="Palatino Linotype" w:cs="Times New Roman"/>
          <w:sz w:val="20"/>
          <w:szCs w:val="20"/>
        </w:rPr>
        <w:t>Does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school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matter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role of </w:t>
      </w:r>
      <w:proofErr w:type="spellStart"/>
      <w:r w:rsidRPr="00C4026F">
        <w:rPr>
          <w:rFonts w:ascii="Palatino Linotype" w:hAnsi="Palatino Linotype" w:cs="Times New Roman"/>
          <w:sz w:val="20"/>
          <w:szCs w:val="20"/>
        </w:rPr>
        <w:t>school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context</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adolescents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school-related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European</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Psychologist</w:t>
      </w:r>
      <w:proofErr w:type="spellEnd"/>
      <w:r w:rsidRPr="00036DBA">
        <w:rPr>
          <w:rFonts w:ascii="Palatino Linotype" w:hAnsi="Palatino Linotype" w:cs="Times New Roman"/>
          <w:i/>
          <w:sz w:val="20"/>
          <w:szCs w:val="20"/>
        </w:rPr>
        <w:t>, 13</w:t>
      </w:r>
      <w:r w:rsidRPr="00C4026F">
        <w:rPr>
          <w:rFonts w:ascii="Palatino Linotype" w:hAnsi="Palatino Linotype" w:cs="Times New Roman"/>
          <w:sz w:val="20"/>
          <w:szCs w:val="20"/>
        </w:rPr>
        <w:t xml:space="preserve">(1), 12-23.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Salmela-Aro</w:t>
      </w:r>
      <w:proofErr w:type="spellEnd"/>
      <w:r w:rsidRPr="00C4026F">
        <w:rPr>
          <w:rFonts w:ascii="Palatino Linotype" w:hAnsi="Palatino Linotype" w:cs="Times New Roman"/>
          <w:sz w:val="20"/>
          <w:szCs w:val="20"/>
        </w:rPr>
        <w:t>, K.</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Upadyaya</w:t>
      </w:r>
      <w:proofErr w:type="spellEnd"/>
      <w:r w:rsidRPr="00C4026F">
        <w:rPr>
          <w:rFonts w:ascii="Palatino Linotype" w:hAnsi="Palatino Linotype" w:cs="Times New Roman"/>
          <w:sz w:val="20"/>
          <w:szCs w:val="20"/>
        </w:rPr>
        <w:t xml:space="preserve">, K. (2014). School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engagement</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context</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demands-resources</w:t>
      </w:r>
      <w:proofErr w:type="spellEnd"/>
      <w:r w:rsidRPr="00C4026F">
        <w:rPr>
          <w:rFonts w:ascii="Palatino Linotype" w:hAnsi="Palatino Linotype" w:cs="Times New Roman"/>
          <w:sz w:val="20"/>
          <w:szCs w:val="20"/>
        </w:rPr>
        <w:t xml:space="preserve"> model. </w:t>
      </w:r>
      <w:r w:rsidRPr="00C4026F">
        <w:rPr>
          <w:rFonts w:ascii="Palatino Linotype" w:hAnsi="Palatino Linotype" w:cs="Times New Roman"/>
          <w:i/>
          <w:sz w:val="20"/>
          <w:szCs w:val="20"/>
        </w:rPr>
        <w:t xml:space="preserve">British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Educational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Psychology</w:t>
      </w:r>
      <w:proofErr w:type="spellEnd"/>
      <w:r w:rsidRPr="00F21619">
        <w:rPr>
          <w:rFonts w:ascii="Palatino Linotype" w:hAnsi="Palatino Linotype" w:cs="Times New Roman"/>
          <w:i/>
          <w:sz w:val="20"/>
          <w:szCs w:val="20"/>
        </w:rPr>
        <w:t>, 84</w:t>
      </w:r>
      <w:r w:rsidRPr="00C4026F">
        <w:rPr>
          <w:rFonts w:ascii="Palatino Linotype" w:hAnsi="Palatino Linotype" w:cs="Times New Roman"/>
          <w:sz w:val="20"/>
          <w:szCs w:val="20"/>
        </w:rPr>
        <w:t xml:space="preserve">(1), 137-151.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lastRenderedPageBreak/>
        <w:t>Schaufeli</w:t>
      </w:r>
      <w:proofErr w:type="spellEnd"/>
      <w:r w:rsidRPr="00C4026F">
        <w:rPr>
          <w:rFonts w:ascii="Palatino Linotype" w:hAnsi="Palatino Linotype" w:cs="Times New Roman"/>
          <w:sz w:val="20"/>
          <w:szCs w:val="20"/>
        </w:rPr>
        <w:t>, W.</w:t>
      </w:r>
      <w:r w:rsidR="006E2F36">
        <w:rPr>
          <w:rFonts w:ascii="Palatino Linotype" w:hAnsi="Palatino Linotype" w:cs="Times New Roman"/>
          <w:sz w:val="20"/>
          <w:szCs w:val="20"/>
        </w:rPr>
        <w:t xml:space="preserve"> </w:t>
      </w:r>
      <w:r w:rsidRPr="00C4026F">
        <w:rPr>
          <w:rFonts w:ascii="Palatino Linotype" w:hAnsi="Palatino Linotype" w:cs="Times New Roman"/>
          <w:sz w:val="20"/>
          <w:szCs w:val="20"/>
        </w:rPr>
        <w:t>B</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Martinez</w:t>
      </w:r>
      <w:proofErr w:type="spellEnd"/>
      <w:r w:rsidRPr="00C4026F">
        <w:rPr>
          <w:rFonts w:ascii="Palatino Linotype" w:hAnsi="Palatino Linotype" w:cs="Times New Roman"/>
          <w:sz w:val="20"/>
          <w:szCs w:val="20"/>
        </w:rPr>
        <w:t>, I.</w:t>
      </w:r>
      <w:r w:rsidR="006E2F36">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B., </w:t>
      </w:r>
      <w:proofErr w:type="spellStart"/>
      <w:r w:rsidRPr="00C4026F">
        <w:rPr>
          <w:rFonts w:ascii="Palatino Linotype" w:hAnsi="Palatino Linotype" w:cs="Times New Roman"/>
          <w:sz w:val="20"/>
          <w:szCs w:val="20"/>
        </w:rPr>
        <w:t>Pinto</w:t>
      </w:r>
      <w:proofErr w:type="spellEnd"/>
      <w:r w:rsidRPr="00C4026F">
        <w:rPr>
          <w:rFonts w:ascii="Palatino Linotype" w:hAnsi="Palatino Linotype" w:cs="Times New Roman"/>
          <w:sz w:val="20"/>
          <w:szCs w:val="20"/>
        </w:rPr>
        <w:t>, A.</w:t>
      </w:r>
      <w:r w:rsidR="006E2F36">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M., </w:t>
      </w:r>
      <w:proofErr w:type="spellStart"/>
      <w:r w:rsidRPr="00C4026F">
        <w:rPr>
          <w:rFonts w:ascii="Palatino Linotype" w:hAnsi="Palatino Linotype" w:cs="Times New Roman"/>
          <w:sz w:val="20"/>
          <w:szCs w:val="20"/>
        </w:rPr>
        <w:t>Salanova</w:t>
      </w:r>
      <w:proofErr w:type="spellEnd"/>
      <w:r w:rsidRPr="00C4026F">
        <w:rPr>
          <w:rFonts w:ascii="Palatino Linotype" w:hAnsi="Palatino Linotype" w:cs="Times New Roman"/>
          <w:sz w:val="20"/>
          <w:szCs w:val="20"/>
        </w:rPr>
        <w:t>, M</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Bakker</w:t>
      </w:r>
      <w:proofErr w:type="spellEnd"/>
      <w:r w:rsidRPr="00C4026F">
        <w:rPr>
          <w:rFonts w:ascii="Palatino Linotype" w:hAnsi="Palatino Linotype" w:cs="Times New Roman"/>
          <w:sz w:val="20"/>
          <w:szCs w:val="20"/>
        </w:rPr>
        <w:t>, A.</w:t>
      </w:r>
      <w:r w:rsidR="006E2F36">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B. (2002).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engagement</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university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A </w:t>
      </w:r>
      <w:proofErr w:type="spellStart"/>
      <w:r w:rsidRPr="00C4026F">
        <w:rPr>
          <w:rFonts w:ascii="Palatino Linotype" w:hAnsi="Palatino Linotype" w:cs="Times New Roman"/>
          <w:sz w:val="20"/>
          <w:szCs w:val="20"/>
        </w:rPr>
        <w:t>cross-national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Cross-</w:t>
      </w:r>
      <w:proofErr w:type="spellStart"/>
      <w:r w:rsidRPr="00C4026F">
        <w:rPr>
          <w:rFonts w:ascii="Palatino Linotype" w:hAnsi="Palatino Linotype" w:cs="Times New Roman"/>
          <w:i/>
          <w:sz w:val="20"/>
          <w:szCs w:val="20"/>
        </w:rPr>
        <w:t>Cultural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Psychology</w:t>
      </w:r>
      <w:proofErr w:type="spellEnd"/>
      <w:r w:rsidRPr="006C4A14">
        <w:rPr>
          <w:rFonts w:ascii="Palatino Linotype" w:hAnsi="Palatino Linotype" w:cs="Times New Roman"/>
          <w:i/>
          <w:sz w:val="20"/>
          <w:szCs w:val="20"/>
        </w:rPr>
        <w:t>, 33</w:t>
      </w:r>
      <w:r w:rsidRPr="00C4026F">
        <w:rPr>
          <w:rFonts w:ascii="Palatino Linotype" w:hAnsi="Palatino Linotype" w:cs="Times New Roman"/>
          <w:sz w:val="20"/>
          <w:szCs w:val="20"/>
        </w:rPr>
        <w:t xml:space="preserve">(5), 464-481. </w:t>
      </w:r>
    </w:p>
    <w:p w:rsidR="00FF02D4" w:rsidRPr="00C4026F" w:rsidRDefault="00FF02D4" w:rsidP="0048375C">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Schwarz</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Cook</w:t>
      </w:r>
      <w:proofErr w:type="spellEnd"/>
      <w:r w:rsidRPr="00C4026F">
        <w:rPr>
          <w:rFonts w:ascii="Palatino Linotype" w:hAnsi="Palatino Linotype" w:cs="Times New Roman"/>
          <w:sz w:val="20"/>
          <w:szCs w:val="20"/>
        </w:rPr>
        <w:t>, S.</w:t>
      </w:r>
      <w:r w:rsidR="006E2F36">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L. (2006). </w:t>
      </w:r>
      <w:proofErr w:type="spellStart"/>
      <w:r w:rsidRPr="00C4026F">
        <w:rPr>
          <w:rFonts w:ascii="Palatino Linotype" w:hAnsi="Palatino Linotype" w:cs="Times New Roman"/>
          <w:i/>
          <w:sz w:val="20"/>
          <w:szCs w:val="20"/>
        </w:rPr>
        <w:t>Explaining</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burnout</w:t>
      </w:r>
      <w:proofErr w:type="spellEnd"/>
      <w:r w:rsidRPr="00C4026F">
        <w:rPr>
          <w:rFonts w:ascii="Palatino Linotype" w:hAnsi="Palatino Linotype" w:cs="Times New Roman"/>
          <w:i/>
          <w:sz w:val="20"/>
          <w:szCs w:val="20"/>
        </w:rPr>
        <w:t xml:space="preserve">: A </w:t>
      </w:r>
      <w:proofErr w:type="spellStart"/>
      <w:r w:rsidRPr="00C4026F">
        <w:rPr>
          <w:rFonts w:ascii="Palatino Linotype" w:hAnsi="Palatino Linotype" w:cs="Times New Roman"/>
          <w:i/>
          <w:sz w:val="20"/>
          <w:szCs w:val="20"/>
        </w:rPr>
        <w:t>mixed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method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investigation</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information</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technology</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workers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Unpublished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Doctoral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Dissertation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Capella</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University</w:t>
      </w:r>
      <w:proofErr w:type="spellEnd"/>
      <w:r w:rsidRPr="00C4026F">
        <w:rPr>
          <w:rFonts w:ascii="Palatino Linotype" w:hAnsi="Palatino Linotype" w:cs="Times New Roman"/>
          <w:sz w:val="20"/>
          <w:szCs w:val="20"/>
        </w:rPr>
        <w:t xml:space="preserve">, Minneapolis, ABD.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Sever, M</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Aypay, A. (2011, Ekim). </w:t>
      </w:r>
      <w:r w:rsidRPr="00C4026F">
        <w:rPr>
          <w:rFonts w:ascii="Palatino Linotype" w:hAnsi="Palatino Linotype" w:cs="Times New Roman"/>
          <w:i/>
          <w:sz w:val="20"/>
          <w:szCs w:val="20"/>
        </w:rPr>
        <w:t>Ortaöğretim öğrencilerinde okul tükenmişliğinin bazı değişkenler açısından incelenmesi</w:t>
      </w:r>
      <w:r w:rsidRPr="00C4026F">
        <w:rPr>
          <w:rFonts w:ascii="Palatino Linotype" w:hAnsi="Palatino Linotype" w:cs="Times New Roman"/>
          <w:sz w:val="20"/>
          <w:szCs w:val="20"/>
        </w:rPr>
        <w:t xml:space="preserve">. XI. Ulusal Psikolojik Danışmanlık ve Rehberlik Kongresi’nde Sunulmuş Sözlü Bildiri, İzmir.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Shih</w:t>
      </w:r>
      <w:proofErr w:type="spellEnd"/>
      <w:r w:rsidRPr="00C4026F">
        <w:rPr>
          <w:rFonts w:ascii="Palatino Linotype" w:hAnsi="Palatino Linotype" w:cs="Times New Roman"/>
          <w:sz w:val="20"/>
          <w:szCs w:val="20"/>
        </w:rPr>
        <w:t>, S.</w:t>
      </w:r>
      <w:r w:rsidR="005F4242">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S. (2012) An </w:t>
      </w:r>
      <w:proofErr w:type="spellStart"/>
      <w:r w:rsidRPr="00C4026F">
        <w:rPr>
          <w:rFonts w:ascii="Palatino Linotype" w:hAnsi="Palatino Linotype" w:cs="Times New Roman"/>
          <w:sz w:val="20"/>
          <w:szCs w:val="20"/>
        </w:rPr>
        <w:t>Examination</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versus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work</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engagement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among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Taiwanese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adolescents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The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Educational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Research</w:t>
      </w:r>
      <w:proofErr w:type="spellEnd"/>
      <w:r w:rsidRPr="007C4542">
        <w:rPr>
          <w:rFonts w:ascii="Palatino Linotype" w:hAnsi="Palatino Linotype" w:cs="Times New Roman"/>
          <w:i/>
          <w:sz w:val="20"/>
          <w:szCs w:val="20"/>
        </w:rPr>
        <w:t>, 105</w:t>
      </w:r>
      <w:r w:rsidRPr="00C4026F">
        <w:rPr>
          <w:rFonts w:ascii="Palatino Linotype" w:hAnsi="Palatino Linotype" w:cs="Times New Roman"/>
          <w:sz w:val="20"/>
          <w:szCs w:val="20"/>
        </w:rPr>
        <w:t xml:space="preserve">(4), 286-298.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Skaalvik</w:t>
      </w:r>
      <w:proofErr w:type="spellEnd"/>
      <w:r w:rsidRPr="00C4026F">
        <w:rPr>
          <w:rFonts w:ascii="Palatino Linotype" w:hAnsi="Palatino Linotype" w:cs="Times New Roman"/>
          <w:sz w:val="20"/>
          <w:szCs w:val="20"/>
        </w:rPr>
        <w:t>, E.</w:t>
      </w:r>
      <w:r w:rsidR="005F4242">
        <w:rPr>
          <w:rFonts w:ascii="Palatino Linotype" w:hAnsi="Palatino Linotype" w:cs="Times New Roman"/>
          <w:sz w:val="20"/>
          <w:szCs w:val="20"/>
        </w:rPr>
        <w:t xml:space="preserve"> </w:t>
      </w:r>
      <w:r w:rsidRPr="00C4026F">
        <w:rPr>
          <w:rFonts w:ascii="Palatino Linotype" w:hAnsi="Palatino Linotype" w:cs="Times New Roman"/>
          <w:sz w:val="20"/>
          <w:szCs w:val="20"/>
        </w:rPr>
        <w:t>M</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Skaalvik</w:t>
      </w:r>
      <w:proofErr w:type="spellEnd"/>
      <w:r w:rsidRPr="00C4026F">
        <w:rPr>
          <w:rFonts w:ascii="Palatino Linotype" w:hAnsi="Palatino Linotype" w:cs="Times New Roman"/>
          <w:sz w:val="20"/>
          <w:szCs w:val="20"/>
        </w:rPr>
        <w:t xml:space="preserve">, S. (2009). </w:t>
      </w:r>
      <w:proofErr w:type="spellStart"/>
      <w:r w:rsidRPr="00C4026F">
        <w:rPr>
          <w:rFonts w:ascii="Palatino Linotype" w:hAnsi="Palatino Linotype" w:cs="Times New Roman"/>
          <w:sz w:val="20"/>
          <w:szCs w:val="20"/>
        </w:rPr>
        <w:t>Does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school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context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matter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Relations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with</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teacher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job</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satisfaction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Teaching</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and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Teacher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Education</w:t>
      </w:r>
      <w:proofErr w:type="spellEnd"/>
      <w:r w:rsidRPr="00010A56">
        <w:rPr>
          <w:rFonts w:ascii="Palatino Linotype" w:hAnsi="Palatino Linotype" w:cs="Times New Roman"/>
          <w:i/>
          <w:sz w:val="20"/>
          <w:szCs w:val="20"/>
        </w:rPr>
        <w:t>, 25</w:t>
      </w:r>
      <w:r w:rsidRPr="00C4026F">
        <w:rPr>
          <w:rFonts w:ascii="Palatino Linotype" w:hAnsi="Palatino Linotype" w:cs="Times New Roman"/>
          <w:sz w:val="20"/>
          <w:szCs w:val="20"/>
        </w:rPr>
        <w:t>(3), 518-524.</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Soliemanifar</w:t>
      </w:r>
      <w:proofErr w:type="spellEnd"/>
      <w:r w:rsidRPr="00C4026F">
        <w:rPr>
          <w:rFonts w:ascii="Palatino Linotype" w:hAnsi="Palatino Linotype" w:cs="Times New Roman"/>
          <w:sz w:val="20"/>
          <w:szCs w:val="20"/>
        </w:rPr>
        <w:t>, O</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Shaabani</w:t>
      </w:r>
      <w:proofErr w:type="spellEnd"/>
      <w:r w:rsidRPr="00C4026F">
        <w:rPr>
          <w:rFonts w:ascii="Palatino Linotype" w:hAnsi="Palatino Linotype" w:cs="Times New Roman"/>
          <w:sz w:val="20"/>
          <w:szCs w:val="20"/>
        </w:rPr>
        <w:t xml:space="preserve">, F. (2012).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relationship</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between</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personality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traits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postgraduate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Life </w:t>
      </w:r>
      <w:proofErr w:type="spellStart"/>
      <w:r w:rsidRPr="00C4026F">
        <w:rPr>
          <w:rFonts w:ascii="Palatino Linotype" w:hAnsi="Palatino Linotype" w:cs="Times New Roman"/>
          <w:i/>
          <w:sz w:val="20"/>
          <w:szCs w:val="20"/>
        </w:rPr>
        <w:t>Science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and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Biomedicine</w:t>
      </w:r>
      <w:proofErr w:type="spellEnd"/>
      <w:r w:rsidRPr="00C67331">
        <w:rPr>
          <w:rFonts w:ascii="Palatino Linotype" w:hAnsi="Palatino Linotype" w:cs="Times New Roman"/>
          <w:i/>
          <w:sz w:val="20"/>
          <w:szCs w:val="20"/>
        </w:rPr>
        <w:t>, 3</w:t>
      </w:r>
      <w:r w:rsidRPr="00C4026F">
        <w:rPr>
          <w:rFonts w:ascii="Palatino Linotype" w:hAnsi="Palatino Linotype" w:cs="Times New Roman"/>
          <w:sz w:val="20"/>
          <w:szCs w:val="20"/>
        </w:rPr>
        <w:t>(1), 60-63.</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Stangor</w:t>
      </w:r>
      <w:proofErr w:type="spellEnd"/>
      <w:r w:rsidRPr="00C4026F">
        <w:rPr>
          <w:rFonts w:ascii="Palatino Linotype" w:hAnsi="Palatino Linotype" w:cs="Times New Roman"/>
          <w:sz w:val="20"/>
          <w:szCs w:val="20"/>
        </w:rPr>
        <w:t xml:space="preserve">, C. (2010). </w:t>
      </w:r>
      <w:proofErr w:type="spellStart"/>
      <w:r w:rsidRPr="00C4026F">
        <w:rPr>
          <w:rFonts w:ascii="Palatino Linotype" w:hAnsi="Palatino Linotype" w:cs="Times New Roman"/>
          <w:i/>
          <w:sz w:val="20"/>
          <w:szCs w:val="20"/>
        </w:rPr>
        <w:t>Research</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methods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for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the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behavioral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sciences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Wadsworth</w:t>
      </w:r>
      <w:proofErr w:type="spellEnd"/>
      <w:r w:rsidRPr="00C4026F">
        <w:rPr>
          <w:rFonts w:ascii="Palatino Linotype" w:hAnsi="Palatino Linotype" w:cs="Times New Roman"/>
          <w:sz w:val="20"/>
          <w:szCs w:val="20"/>
        </w:rPr>
        <w:t>.</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Stevens, J.</w:t>
      </w:r>
      <w:r w:rsidR="005F4242">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P. (2009). </w:t>
      </w:r>
      <w:proofErr w:type="spellStart"/>
      <w:r w:rsidRPr="00C4026F">
        <w:rPr>
          <w:rFonts w:ascii="Palatino Linotype" w:hAnsi="Palatino Linotype" w:cs="Times New Roman"/>
          <w:i/>
          <w:sz w:val="20"/>
          <w:szCs w:val="20"/>
        </w:rPr>
        <w:t>Applied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multivariate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statistics</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for</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the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social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sciences</w:t>
      </w:r>
      <w:proofErr w:type="spellEnd"/>
      <w:r w:rsidRPr="00C4026F">
        <w:rPr>
          <w:rFonts w:ascii="Palatino Linotype" w:hAnsi="Palatino Linotype" w:cs="Times New Roman"/>
          <w:sz w:val="20"/>
          <w:szCs w:val="20"/>
        </w:rPr>
        <w:t xml:space="preserve">. New York: </w:t>
      </w:r>
      <w:proofErr w:type="spellStart"/>
      <w:r w:rsidRPr="00C4026F">
        <w:rPr>
          <w:rFonts w:ascii="Palatino Linotype" w:hAnsi="Palatino Linotype" w:cs="Times New Roman"/>
          <w:sz w:val="20"/>
          <w:szCs w:val="20"/>
        </w:rPr>
        <w:t>Routledge</w:t>
      </w:r>
      <w:proofErr w:type="spellEnd"/>
      <w:r w:rsidRPr="00C4026F">
        <w:rPr>
          <w:rFonts w:ascii="Palatino Linotype" w:hAnsi="Palatino Linotype" w:cs="Times New Roman"/>
          <w:sz w:val="20"/>
          <w:szCs w:val="20"/>
        </w:rPr>
        <w:t>.</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r w:rsidRPr="00C4026F">
        <w:rPr>
          <w:rFonts w:ascii="Palatino Linotype" w:hAnsi="Palatino Linotype" w:cs="Times New Roman"/>
          <w:sz w:val="20"/>
          <w:szCs w:val="20"/>
        </w:rPr>
        <w:t>Şeker, H</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Gençdoğan</w:t>
      </w:r>
      <w:proofErr w:type="spellEnd"/>
      <w:r w:rsidRPr="00C4026F">
        <w:rPr>
          <w:rFonts w:ascii="Palatino Linotype" w:hAnsi="Palatino Linotype" w:cs="Times New Roman"/>
          <w:sz w:val="20"/>
          <w:szCs w:val="20"/>
        </w:rPr>
        <w:t xml:space="preserve">, B. (2006). </w:t>
      </w:r>
      <w:r w:rsidRPr="00C4026F">
        <w:rPr>
          <w:rFonts w:ascii="Palatino Linotype" w:hAnsi="Palatino Linotype" w:cs="Times New Roman"/>
          <w:i/>
          <w:sz w:val="20"/>
          <w:szCs w:val="20"/>
        </w:rPr>
        <w:t>Psikolojide ve eğitimde ölçme aracı geliştirme</w:t>
      </w:r>
      <w:r w:rsidRPr="00C4026F">
        <w:rPr>
          <w:rFonts w:ascii="Palatino Linotype" w:hAnsi="Palatino Linotype" w:cs="Times New Roman"/>
          <w:sz w:val="20"/>
          <w:szCs w:val="20"/>
        </w:rPr>
        <w:t xml:space="preserve">. Ankara: Nobel Yayın Dağıtım.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Tezbaşaran</w:t>
      </w:r>
      <w:proofErr w:type="spellEnd"/>
      <w:r w:rsidRPr="00C4026F">
        <w:rPr>
          <w:rFonts w:ascii="Palatino Linotype" w:hAnsi="Palatino Linotype" w:cs="Times New Roman"/>
          <w:sz w:val="20"/>
          <w:szCs w:val="20"/>
        </w:rPr>
        <w:t xml:space="preserve">, A. (1997). </w:t>
      </w:r>
      <w:r w:rsidRPr="00C4026F">
        <w:rPr>
          <w:rFonts w:ascii="Palatino Linotype" w:hAnsi="Palatino Linotype" w:cs="Times New Roman"/>
          <w:i/>
          <w:sz w:val="20"/>
          <w:szCs w:val="20"/>
        </w:rPr>
        <w:t>Likert tipi ölçek hazırlama kılavuzu</w:t>
      </w:r>
      <w:r w:rsidRPr="00C4026F">
        <w:rPr>
          <w:rFonts w:ascii="Palatino Linotype" w:hAnsi="Palatino Linotype" w:cs="Times New Roman"/>
          <w:sz w:val="20"/>
          <w:szCs w:val="20"/>
        </w:rPr>
        <w:t>. Ankara: Türk Psikologlar Derneği.</w:t>
      </w:r>
    </w:p>
    <w:p w:rsidR="00FF02D4" w:rsidRPr="00C4026F" w:rsidRDefault="00FF02D4" w:rsidP="00097D34">
      <w:pPr>
        <w:spacing w:after="60" w:line="240" w:lineRule="auto"/>
        <w:ind w:left="426" w:hanging="426"/>
        <w:jc w:val="both"/>
        <w:rPr>
          <w:rFonts w:ascii="Palatino Linotype" w:hAnsi="Palatino Linotype" w:cs="Times New Roman"/>
          <w:sz w:val="20"/>
          <w:szCs w:val="20"/>
          <w:lang w:val="en-US"/>
        </w:rPr>
      </w:pPr>
      <w:r w:rsidRPr="00C4026F">
        <w:rPr>
          <w:rFonts w:ascii="Palatino Linotype" w:hAnsi="Palatino Linotype" w:cs="Times New Roman"/>
          <w:sz w:val="20"/>
          <w:szCs w:val="20"/>
        </w:rPr>
        <w:t xml:space="preserve">Uçar, N. (2010). Kümeleme analizi. </w:t>
      </w:r>
      <w:r w:rsidRPr="00C4026F">
        <w:rPr>
          <w:rFonts w:ascii="Palatino Linotype" w:hAnsi="Palatino Linotype" w:cs="Times New Roman"/>
          <w:sz w:val="20"/>
          <w:szCs w:val="20"/>
          <w:lang w:val="en-US"/>
        </w:rPr>
        <w:t xml:space="preserve">Ş. Kalaycı, (Ed.), </w:t>
      </w:r>
      <w:r w:rsidRPr="00C4026F">
        <w:rPr>
          <w:rFonts w:ascii="Palatino Linotype" w:hAnsi="Palatino Linotype" w:cs="Times New Roman"/>
          <w:i/>
          <w:sz w:val="20"/>
          <w:szCs w:val="20"/>
          <w:lang w:val="en-US"/>
        </w:rPr>
        <w:t xml:space="preserve">SPSS </w:t>
      </w:r>
      <w:proofErr w:type="spellStart"/>
      <w:r w:rsidRPr="00C4026F">
        <w:rPr>
          <w:rFonts w:ascii="Palatino Linotype" w:hAnsi="Palatino Linotype" w:cs="Times New Roman"/>
          <w:i/>
          <w:sz w:val="20"/>
          <w:szCs w:val="20"/>
          <w:lang w:val="en-US"/>
        </w:rPr>
        <w:t>uygulamalı</w:t>
      </w:r>
      <w:proofErr w:type="spellEnd"/>
      <w:r w:rsidRPr="00C4026F">
        <w:rPr>
          <w:rFonts w:ascii="Palatino Linotype" w:hAnsi="Palatino Linotype" w:cs="Times New Roman"/>
          <w:i/>
          <w:sz w:val="20"/>
          <w:szCs w:val="20"/>
          <w:lang w:val="en-US"/>
        </w:rPr>
        <w:t xml:space="preserve"> </w:t>
      </w:r>
      <w:proofErr w:type="spellStart"/>
      <w:r w:rsidRPr="00C4026F">
        <w:rPr>
          <w:rFonts w:ascii="Palatino Linotype" w:hAnsi="Palatino Linotype" w:cs="Times New Roman"/>
          <w:i/>
          <w:sz w:val="20"/>
          <w:szCs w:val="20"/>
          <w:lang w:val="en-US"/>
        </w:rPr>
        <w:t>çok</w:t>
      </w:r>
      <w:proofErr w:type="spellEnd"/>
      <w:r w:rsidRPr="00C4026F">
        <w:rPr>
          <w:rFonts w:ascii="Palatino Linotype" w:hAnsi="Palatino Linotype" w:cs="Times New Roman"/>
          <w:i/>
          <w:sz w:val="20"/>
          <w:szCs w:val="20"/>
          <w:lang w:val="en-US"/>
        </w:rPr>
        <w:t xml:space="preserve"> </w:t>
      </w:r>
      <w:proofErr w:type="spellStart"/>
      <w:r w:rsidRPr="00C4026F">
        <w:rPr>
          <w:rFonts w:ascii="Palatino Linotype" w:hAnsi="Palatino Linotype" w:cs="Times New Roman"/>
          <w:i/>
          <w:sz w:val="20"/>
          <w:szCs w:val="20"/>
          <w:lang w:val="en-US"/>
        </w:rPr>
        <w:t>değişkenli</w:t>
      </w:r>
      <w:proofErr w:type="spellEnd"/>
      <w:r w:rsidRPr="00C4026F">
        <w:rPr>
          <w:rFonts w:ascii="Palatino Linotype" w:hAnsi="Palatino Linotype" w:cs="Times New Roman"/>
          <w:i/>
          <w:sz w:val="20"/>
          <w:szCs w:val="20"/>
          <w:lang w:val="en-US"/>
        </w:rPr>
        <w:t xml:space="preserve"> </w:t>
      </w:r>
      <w:proofErr w:type="spellStart"/>
      <w:r w:rsidRPr="00C4026F">
        <w:rPr>
          <w:rFonts w:ascii="Palatino Linotype" w:hAnsi="Palatino Linotype" w:cs="Times New Roman"/>
          <w:i/>
          <w:sz w:val="20"/>
          <w:szCs w:val="20"/>
          <w:lang w:val="en-US"/>
        </w:rPr>
        <w:t>istatistik</w:t>
      </w:r>
      <w:proofErr w:type="spellEnd"/>
      <w:r w:rsidRPr="00C4026F">
        <w:rPr>
          <w:rFonts w:ascii="Palatino Linotype" w:hAnsi="Palatino Linotype" w:cs="Times New Roman"/>
          <w:i/>
          <w:sz w:val="20"/>
          <w:szCs w:val="20"/>
          <w:lang w:val="en-US"/>
        </w:rPr>
        <w:t xml:space="preserve"> </w:t>
      </w:r>
      <w:proofErr w:type="spellStart"/>
      <w:r w:rsidRPr="00C4026F">
        <w:rPr>
          <w:rFonts w:ascii="Palatino Linotype" w:hAnsi="Palatino Linotype" w:cs="Times New Roman"/>
          <w:i/>
          <w:sz w:val="20"/>
          <w:szCs w:val="20"/>
          <w:lang w:val="en-US"/>
        </w:rPr>
        <w:t>teknikleri</w:t>
      </w:r>
      <w:proofErr w:type="spellEnd"/>
      <w:r w:rsidRPr="00C4026F">
        <w:rPr>
          <w:rFonts w:ascii="Palatino Linotype" w:hAnsi="Palatino Linotype" w:cs="Times New Roman"/>
          <w:sz w:val="20"/>
          <w:szCs w:val="20"/>
          <w:lang w:val="en-US"/>
        </w:rPr>
        <w:t xml:space="preserve"> </w:t>
      </w:r>
      <w:proofErr w:type="spellStart"/>
      <w:r w:rsidRPr="00C4026F">
        <w:rPr>
          <w:rFonts w:ascii="Palatino Linotype" w:hAnsi="Palatino Linotype" w:cs="Times New Roman"/>
          <w:sz w:val="20"/>
          <w:szCs w:val="20"/>
          <w:lang w:val="en-US"/>
        </w:rPr>
        <w:t>içinde</w:t>
      </w:r>
      <w:proofErr w:type="spellEnd"/>
      <w:r w:rsidRPr="00C4026F">
        <w:rPr>
          <w:rFonts w:ascii="Palatino Linotype" w:hAnsi="Palatino Linotype" w:cs="Times New Roman"/>
          <w:sz w:val="20"/>
          <w:szCs w:val="20"/>
          <w:lang w:val="en-US"/>
        </w:rPr>
        <w:t xml:space="preserve"> (347-376). Ankara: </w:t>
      </w:r>
      <w:proofErr w:type="spellStart"/>
      <w:r w:rsidRPr="00C4026F">
        <w:rPr>
          <w:rFonts w:ascii="Palatino Linotype" w:hAnsi="Palatino Linotype" w:cs="Times New Roman"/>
          <w:sz w:val="20"/>
          <w:szCs w:val="20"/>
          <w:lang w:val="en-US"/>
        </w:rPr>
        <w:t>Asil</w:t>
      </w:r>
      <w:proofErr w:type="spellEnd"/>
      <w:r w:rsidRPr="00C4026F">
        <w:rPr>
          <w:rFonts w:ascii="Palatino Linotype" w:hAnsi="Palatino Linotype" w:cs="Times New Roman"/>
          <w:sz w:val="20"/>
          <w:szCs w:val="20"/>
          <w:lang w:val="en-US"/>
        </w:rPr>
        <w:t xml:space="preserve"> Yayın </w:t>
      </w:r>
      <w:proofErr w:type="spellStart"/>
      <w:r w:rsidRPr="00C4026F">
        <w:rPr>
          <w:rFonts w:ascii="Palatino Linotype" w:hAnsi="Palatino Linotype" w:cs="Times New Roman"/>
          <w:sz w:val="20"/>
          <w:szCs w:val="20"/>
          <w:lang w:val="en-US"/>
        </w:rPr>
        <w:t>Dağıtım</w:t>
      </w:r>
      <w:proofErr w:type="spellEnd"/>
      <w:r w:rsidRPr="00C4026F">
        <w:rPr>
          <w:rFonts w:ascii="Palatino Linotype" w:hAnsi="Palatino Linotype" w:cs="Times New Roman"/>
          <w:sz w:val="20"/>
          <w:szCs w:val="20"/>
          <w:lang w:val="en-US"/>
        </w:rPr>
        <w:t>.</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Urbina</w:t>
      </w:r>
      <w:proofErr w:type="spellEnd"/>
      <w:r w:rsidRPr="00C4026F">
        <w:rPr>
          <w:rFonts w:ascii="Palatino Linotype" w:hAnsi="Palatino Linotype" w:cs="Times New Roman"/>
          <w:sz w:val="20"/>
          <w:szCs w:val="20"/>
        </w:rPr>
        <w:t xml:space="preserve">, S. (2004). </w:t>
      </w:r>
      <w:r w:rsidRPr="00C4026F">
        <w:rPr>
          <w:rFonts w:ascii="Palatino Linotype" w:hAnsi="Palatino Linotype" w:cs="Times New Roman"/>
          <w:i/>
          <w:sz w:val="20"/>
          <w:szCs w:val="20"/>
        </w:rPr>
        <w:t xml:space="preserve">Essentials of </w:t>
      </w:r>
      <w:proofErr w:type="spellStart"/>
      <w:r w:rsidRPr="00C4026F">
        <w:rPr>
          <w:rFonts w:ascii="Palatino Linotype" w:hAnsi="Palatino Linotype" w:cs="Times New Roman"/>
          <w:i/>
          <w:sz w:val="20"/>
          <w:szCs w:val="20"/>
        </w:rPr>
        <w:t>psychological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testing</w:t>
      </w:r>
      <w:proofErr w:type="spellEnd"/>
      <w:r w:rsidRPr="00C4026F">
        <w:rPr>
          <w:rFonts w:ascii="Palatino Linotype" w:hAnsi="Palatino Linotype" w:cs="Times New Roman"/>
          <w:sz w:val="20"/>
          <w:szCs w:val="20"/>
        </w:rPr>
        <w:t xml:space="preserve">. New Jersey: John </w:t>
      </w:r>
      <w:proofErr w:type="spellStart"/>
      <w:r w:rsidRPr="00C4026F">
        <w:rPr>
          <w:rFonts w:ascii="Palatino Linotype" w:hAnsi="Palatino Linotype" w:cs="Times New Roman"/>
          <w:sz w:val="20"/>
          <w:szCs w:val="20"/>
        </w:rPr>
        <w:t>Wiley</w:t>
      </w:r>
      <w:proofErr w:type="spellEnd"/>
      <w:r w:rsidRPr="00C4026F">
        <w:rPr>
          <w:rFonts w:ascii="Palatino Linotype" w:hAnsi="Palatino Linotype" w:cs="Times New Roman"/>
          <w:sz w:val="20"/>
          <w:szCs w:val="20"/>
        </w:rPr>
        <w:t xml:space="preserve"> &amp; </w:t>
      </w:r>
      <w:proofErr w:type="spellStart"/>
      <w:r w:rsidRPr="00C4026F">
        <w:rPr>
          <w:rFonts w:ascii="Palatino Linotype" w:hAnsi="Palatino Linotype" w:cs="Times New Roman"/>
          <w:sz w:val="20"/>
          <w:szCs w:val="20"/>
        </w:rPr>
        <w:t>Sons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Inc</w:t>
      </w:r>
      <w:proofErr w:type="spellEnd"/>
      <w:r w:rsidRPr="00C4026F">
        <w:rPr>
          <w:rFonts w:ascii="Palatino Linotype" w:hAnsi="Palatino Linotype" w:cs="Times New Roman"/>
          <w:sz w:val="20"/>
          <w:szCs w:val="20"/>
        </w:rPr>
        <w:t>.</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Valickienea</w:t>
      </w:r>
      <w:proofErr w:type="spellEnd"/>
      <w:r w:rsidRPr="00C4026F">
        <w:rPr>
          <w:rFonts w:ascii="Palatino Linotype" w:hAnsi="Palatino Linotype" w:cs="Times New Roman"/>
          <w:sz w:val="20"/>
          <w:szCs w:val="20"/>
        </w:rPr>
        <w:t>, R.</w:t>
      </w:r>
      <w:r w:rsidR="005F4242">
        <w:rPr>
          <w:rFonts w:ascii="Palatino Linotype" w:hAnsi="Palatino Linotype" w:cs="Times New Roman"/>
          <w:sz w:val="20"/>
          <w:szCs w:val="20"/>
        </w:rPr>
        <w:t xml:space="preserve"> </w:t>
      </w:r>
      <w:r w:rsidRPr="00C4026F">
        <w:rPr>
          <w:rFonts w:ascii="Palatino Linotype" w:hAnsi="Palatino Linotype" w:cs="Times New Roman"/>
          <w:sz w:val="20"/>
          <w:szCs w:val="20"/>
        </w:rPr>
        <w:t>P</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Zukauskienea</w:t>
      </w:r>
      <w:proofErr w:type="spellEnd"/>
      <w:r w:rsidRPr="00C4026F">
        <w:rPr>
          <w:rFonts w:ascii="Palatino Linotype" w:hAnsi="Palatino Linotype" w:cs="Times New Roman"/>
          <w:sz w:val="20"/>
          <w:szCs w:val="20"/>
        </w:rPr>
        <w:t>, R</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Raiziene</w:t>
      </w:r>
      <w:proofErr w:type="spellEnd"/>
      <w:r w:rsidRPr="00C4026F">
        <w:rPr>
          <w:rFonts w:ascii="Palatino Linotype" w:hAnsi="Palatino Linotype" w:cs="Times New Roman"/>
          <w:sz w:val="20"/>
          <w:szCs w:val="20"/>
        </w:rPr>
        <w:t xml:space="preserve">, S. (2011). </w:t>
      </w:r>
      <w:proofErr w:type="spellStart"/>
      <w:r w:rsidRPr="00C4026F">
        <w:rPr>
          <w:rFonts w:ascii="Palatino Linotype" w:hAnsi="Palatino Linotype" w:cs="Times New Roman"/>
          <w:sz w:val="20"/>
          <w:szCs w:val="20"/>
        </w:rPr>
        <w:t>The</w:t>
      </w:r>
      <w:proofErr w:type="spellEnd"/>
      <w:r w:rsidRPr="00C4026F">
        <w:rPr>
          <w:rFonts w:ascii="Palatino Linotype" w:hAnsi="Palatino Linotype" w:cs="Times New Roman"/>
          <w:sz w:val="20"/>
          <w:szCs w:val="20"/>
        </w:rPr>
        <w:t xml:space="preserve"> role of </w:t>
      </w:r>
      <w:proofErr w:type="spellStart"/>
      <w:r w:rsidRPr="00C4026F">
        <w:rPr>
          <w:rFonts w:ascii="Palatino Linotype" w:hAnsi="Palatino Linotype" w:cs="Times New Roman"/>
          <w:sz w:val="20"/>
          <w:szCs w:val="20"/>
        </w:rPr>
        <w:t>attachment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to</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school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open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classroom</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climate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for</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discussion</w:t>
      </w:r>
      <w:proofErr w:type="spellEnd"/>
      <w:r w:rsidRPr="00C4026F">
        <w:rPr>
          <w:rFonts w:ascii="Palatino Linotype" w:hAnsi="Palatino Linotype" w:cs="Times New Roman"/>
          <w:sz w:val="20"/>
          <w:szCs w:val="20"/>
        </w:rPr>
        <w:t xml:space="preserve"> on </w:t>
      </w:r>
      <w:proofErr w:type="spellStart"/>
      <w:r w:rsidRPr="00C4026F">
        <w:rPr>
          <w:rFonts w:ascii="Palatino Linotype" w:hAnsi="Palatino Linotype" w:cs="Times New Roman"/>
          <w:sz w:val="20"/>
          <w:szCs w:val="20"/>
        </w:rPr>
        <w:t>adolescents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school-related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Procedia</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Social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and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Behavioral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Sciences</w:t>
      </w:r>
      <w:proofErr w:type="spellEnd"/>
      <w:r w:rsidRPr="00510B2F">
        <w:rPr>
          <w:rFonts w:ascii="Palatino Linotype" w:hAnsi="Palatino Linotype" w:cs="Times New Roman"/>
          <w:i/>
          <w:sz w:val="20"/>
          <w:szCs w:val="20"/>
        </w:rPr>
        <w:t>, 15</w:t>
      </w:r>
      <w:r w:rsidRPr="00C4026F">
        <w:rPr>
          <w:rFonts w:ascii="Palatino Linotype" w:hAnsi="Palatino Linotype" w:cs="Times New Roman"/>
          <w:sz w:val="20"/>
          <w:szCs w:val="20"/>
        </w:rPr>
        <w:t xml:space="preserve">, 637-641.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Yang</w:t>
      </w:r>
      <w:proofErr w:type="spellEnd"/>
      <w:r w:rsidRPr="00C4026F">
        <w:rPr>
          <w:rFonts w:ascii="Palatino Linotype" w:hAnsi="Palatino Linotype" w:cs="Times New Roman"/>
          <w:sz w:val="20"/>
          <w:szCs w:val="20"/>
        </w:rPr>
        <w:t>, H.</w:t>
      </w:r>
      <w:r w:rsidR="005F4242">
        <w:rPr>
          <w:rFonts w:ascii="Palatino Linotype" w:hAnsi="Palatino Linotype" w:cs="Times New Roman"/>
          <w:sz w:val="20"/>
          <w:szCs w:val="20"/>
        </w:rPr>
        <w:t xml:space="preserve"> </w:t>
      </w:r>
      <w:r w:rsidRPr="00C4026F">
        <w:rPr>
          <w:rFonts w:ascii="Palatino Linotype" w:hAnsi="Palatino Linotype" w:cs="Times New Roman"/>
          <w:sz w:val="20"/>
          <w:szCs w:val="20"/>
        </w:rPr>
        <w:t xml:space="preserve">J. (2004). </w:t>
      </w:r>
      <w:proofErr w:type="spellStart"/>
      <w:r w:rsidRPr="00C4026F">
        <w:rPr>
          <w:rFonts w:ascii="Palatino Linotype" w:hAnsi="Palatino Linotype" w:cs="Times New Roman"/>
          <w:sz w:val="20"/>
          <w:szCs w:val="20"/>
        </w:rPr>
        <w:t>Factors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affecting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achievement</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multiple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enrollment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programs</w:t>
      </w:r>
      <w:proofErr w:type="spellEnd"/>
      <w:r w:rsidRPr="00C4026F">
        <w:rPr>
          <w:rFonts w:ascii="Palatino Linotype" w:hAnsi="Palatino Linotype" w:cs="Times New Roman"/>
          <w:sz w:val="20"/>
          <w:szCs w:val="20"/>
        </w:rPr>
        <w:t xml:space="preserve"> in </w:t>
      </w:r>
      <w:proofErr w:type="spellStart"/>
      <w:r w:rsidRPr="00C4026F">
        <w:rPr>
          <w:rFonts w:ascii="Palatino Linotype" w:hAnsi="Palatino Linotype" w:cs="Times New Roman"/>
          <w:sz w:val="20"/>
          <w:szCs w:val="20"/>
        </w:rPr>
        <w:t>Taiwan’s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technical-vocational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colleges</w:t>
      </w:r>
      <w:proofErr w:type="spellEnd"/>
      <w:r w:rsidRPr="00C4026F">
        <w:rPr>
          <w:rFonts w:ascii="Palatino Linotype" w:hAnsi="Palatino Linotype" w:cs="Times New Roman"/>
          <w:sz w:val="20"/>
          <w:szCs w:val="20"/>
        </w:rPr>
        <w:t xml:space="preserve">. </w:t>
      </w:r>
      <w:r w:rsidRPr="00C4026F">
        <w:rPr>
          <w:rFonts w:ascii="Palatino Linotype" w:hAnsi="Palatino Linotype" w:cs="Times New Roman"/>
          <w:i/>
          <w:sz w:val="20"/>
          <w:szCs w:val="20"/>
        </w:rPr>
        <w:t xml:space="preserve">International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Educational</w:t>
      </w:r>
      <w:proofErr w:type="spellEnd"/>
      <w:r w:rsidRPr="00C4026F">
        <w:rPr>
          <w:rFonts w:ascii="Palatino Linotype" w:hAnsi="Palatino Linotype" w:cs="Times New Roman"/>
          <w:i/>
          <w:sz w:val="20"/>
          <w:szCs w:val="20"/>
        </w:rPr>
        <w:t xml:space="preserve"> Development</w:t>
      </w:r>
      <w:r w:rsidRPr="00E92AE5">
        <w:rPr>
          <w:rFonts w:ascii="Palatino Linotype" w:hAnsi="Palatino Linotype" w:cs="Times New Roman"/>
          <w:i/>
          <w:sz w:val="20"/>
          <w:szCs w:val="20"/>
        </w:rPr>
        <w:t>, 24</w:t>
      </w:r>
      <w:r w:rsidRPr="00C4026F">
        <w:rPr>
          <w:rFonts w:ascii="Palatino Linotype" w:hAnsi="Palatino Linotype" w:cs="Times New Roman"/>
          <w:sz w:val="20"/>
          <w:szCs w:val="20"/>
        </w:rPr>
        <w:t xml:space="preserve">(3), 283-301.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Zhang</w:t>
      </w:r>
      <w:proofErr w:type="spellEnd"/>
      <w:r w:rsidRPr="00C4026F">
        <w:rPr>
          <w:rFonts w:ascii="Palatino Linotype" w:hAnsi="Palatino Linotype" w:cs="Times New Roman"/>
          <w:sz w:val="20"/>
          <w:szCs w:val="20"/>
        </w:rPr>
        <w:t>, Y</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Gan</w:t>
      </w:r>
      <w:proofErr w:type="spellEnd"/>
      <w:r w:rsidRPr="00C4026F">
        <w:rPr>
          <w:rFonts w:ascii="Palatino Linotype" w:hAnsi="Palatino Linotype" w:cs="Times New Roman"/>
          <w:sz w:val="20"/>
          <w:szCs w:val="20"/>
        </w:rPr>
        <w:t>, Y</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Cham</w:t>
      </w:r>
      <w:proofErr w:type="spellEnd"/>
      <w:r w:rsidRPr="00C4026F">
        <w:rPr>
          <w:rFonts w:ascii="Palatino Linotype" w:hAnsi="Palatino Linotype" w:cs="Times New Roman"/>
          <w:sz w:val="20"/>
          <w:szCs w:val="20"/>
        </w:rPr>
        <w:t xml:space="preserve">, H. (2007). </w:t>
      </w:r>
      <w:proofErr w:type="spellStart"/>
      <w:r w:rsidRPr="00C4026F">
        <w:rPr>
          <w:rFonts w:ascii="Palatino Linotype" w:hAnsi="Palatino Linotype" w:cs="Times New Roman"/>
          <w:sz w:val="20"/>
          <w:szCs w:val="20"/>
        </w:rPr>
        <w:t>Perfectionism</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engagement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among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Chinese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college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A </w:t>
      </w:r>
      <w:proofErr w:type="spellStart"/>
      <w:r w:rsidRPr="00C4026F">
        <w:rPr>
          <w:rFonts w:ascii="Palatino Linotype" w:hAnsi="Palatino Linotype" w:cs="Times New Roman"/>
          <w:sz w:val="20"/>
          <w:szCs w:val="20"/>
        </w:rPr>
        <w:t>structural</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equation</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modeling</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analysis</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i/>
          <w:sz w:val="20"/>
          <w:szCs w:val="20"/>
        </w:rPr>
        <w:t>Personality</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and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Individual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Differences</w:t>
      </w:r>
      <w:proofErr w:type="spellEnd"/>
      <w:r w:rsidRPr="00385BC0">
        <w:rPr>
          <w:rFonts w:ascii="Palatino Linotype" w:hAnsi="Palatino Linotype" w:cs="Times New Roman"/>
          <w:i/>
          <w:sz w:val="20"/>
          <w:szCs w:val="20"/>
        </w:rPr>
        <w:t>, 43</w:t>
      </w:r>
      <w:r w:rsidRPr="00C4026F">
        <w:rPr>
          <w:rFonts w:ascii="Palatino Linotype" w:hAnsi="Palatino Linotype" w:cs="Times New Roman"/>
          <w:sz w:val="20"/>
          <w:szCs w:val="20"/>
        </w:rPr>
        <w:t xml:space="preserve">(6), 1529-1540. </w:t>
      </w:r>
    </w:p>
    <w:p w:rsidR="00FF02D4" w:rsidRPr="00C4026F" w:rsidRDefault="00FF02D4" w:rsidP="00097D34">
      <w:pPr>
        <w:spacing w:after="60" w:line="240" w:lineRule="auto"/>
        <w:ind w:left="426" w:hanging="426"/>
        <w:jc w:val="both"/>
        <w:rPr>
          <w:rFonts w:ascii="Palatino Linotype" w:hAnsi="Palatino Linotype" w:cs="Times New Roman"/>
          <w:sz w:val="20"/>
          <w:szCs w:val="20"/>
        </w:rPr>
      </w:pPr>
      <w:proofErr w:type="spellStart"/>
      <w:r w:rsidRPr="00C4026F">
        <w:rPr>
          <w:rFonts w:ascii="Palatino Linotype" w:hAnsi="Palatino Linotype" w:cs="Times New Roman"/>
          <w:sz w:val="20"/>
          <w:szCs w:val="20"/>
        </w:rPr>
        <w:t>Zhang</w:t>
      </w:r>
      <w:proofErr w:type="spellEnd"/>
      <w:r w:rsidRPr="00C4026F">
        <w:rPr>
          <w:rFonts w:ascii="Palatino Linotype" w:hAnsi="Palatino Linotype" w:cs="Times New Roman"/>
          <w:sz w:val="20"/>
          <w:szCs w:val="20"/>
        </w:rPr>
        <w:t>, X</w:t>
      </w:r>
      <w:proofErr w:type="gramStart"/>
      <w:r w:rsidRPr="00C4026F">
        <w:rPr>
          <w:rFonts w:ascii="Palatino Linotype" w:hAnsi="Palatino Linotype" w:cs="Times New Roman"/>
          <w:sz w:val="20"/>
          <w:szCs w:val="20"/>
        </w:rPr>
        <w:t>.,</w:t>
      </w:r>
      <w:proofErr w:type="gram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Klassen</w:t>
      </w:r>
      <w:proofErr w:type="spellEnd"/>
      <w:r w:rsidRPr="00C4026F">
        <w:rPr>
          <w:rFonts w:ascii="Palatino Linotype" w:hAnsi="Palatino Linotype" w:cs="Times New Roman"/>
          <w:sz w:val="20"/>
          <w:szCs w:val="20"/>
        </w:rPr>
        <w:t>, R.</w:t>
      </w:r>
      <w:r w:rsidR="005F4242">
        <w:rPr>
          <w:rFonts w:ascii="Palatino Linotype" w:hAnsi="Palatino Linotype" w:cs="Times New Roman"/>
          <w:sz w:val="20"/>
          <w:szCs w:val="20"/>
        </w:rPr>
        <w:t xml:space="preserve"> </w:t>
      </w:r>
      <w:r w:rsidRPr="00C4026F">
        <w:rPr>
          <w:rFonts w:ascii="Palatino Linotype" w:hAnsi="Palatino Linotype" w:cs="Times New Roman"/>
          <w:sz w:val="20"/>
          <w:szCs w:val="20"/>
        </w:rPr>
        <w:t>M</w:t>
      </w:r>
      <w:r w:rsidR="00853B3D">
        <w:rPr>
          <w:rFonts w:ascii="Palatino Linotype" w:hAnsi="Palatino Linotype" w:cs="Times New Roman"/>
          <w:sz w:val="20"/>
          <w:szCs w:val="20"/>
        </w:rPr>
        <w:t>.</w:t>
      </w:r>
      <w:r w:rsidR="00D10C65">
        <w:rPr>
          <w:rFonts w:ascii="Palatino Linotype" w:hAnsi="Palatino Linotype" w:cs="Times New Roman"/>
          <w:sz w:val="20"/>
          <w:szCs w:val="20"/>
        </w:rPr>
        <w:t xml:space="preserve"> ve</w:t>
      </w:r>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Wang</w:t>
      </w:r>
      <w:proofErr w:type="spellEnd"/>
      <w:r w:rsidRPr="00C4026F">
        <w:rPr>
          <w:rFonts w:ascii="Palatino Linotype" w:hAnsi="Palatino Linotype" w:cs="Times New Roman"/>
          <w:sz w:val="20"/>
          <w:szCs w:val="20"/>
        </w:rPr>
        <w:t xml:space="preserve">, Y. (2013). </w:t>
      </w:r>
      <w:proofErr w:type="spellStart"/>
      <w:r w:rsidRPr="00C4026F">
        <w:rPr>
          <w:rFonts w:ascii="Palatino Linotype" w:hAnsi="Palatino Linotype" w:cs="Times New Roman"/>
          <w:sz w:val="20"/>
          <w:szCs w:val="20"/>
        </w:rPr>
        <w:t>Academic</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burnout</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and</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motivation</w:t>
      </w:r>
      <w:proofErr w:type="spellEnd"/>
      <w:r w:rsidRPr="00C4026F">
        <w:rPr>
          <w:rFonts w:ascii="Palatino Linotype" w:hAnsi="Palatino Linotype" w:cs="Times New Roman"/>
          <w:sz w:val="20"/>
          <w:szCs w:val="20"/>
        </w:rPr>
        <w:t xml:space="preserve"> of </w:t>
      </w:r>
      <w:proofErr w:type="spellStart"/>
      <w:r w:rsidRPr="00C4026F">
        <w:rPr>
          <w:rFonts w:ascii="Palatino Linotype" w:hAnsi="Palatino Linotype" w:cs="Times New Roman"/>
          <w:sz w:val="20"/>
          <w:szCs w:val="20"/>
        </w:rPr>
        <w:t>Chinese</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secondary</w:t>
      </w:r>
      <w:proofErr w:type="spellEnd"/>
      <w:r w:rsidRPr="00C4026F">
        <w:rPr>
          <w:rFonts w:ascii="Palatino Linotype" w:hAnsi="Palatino Linotype" w:cs="Times New Roman"/>
          <w:sz w:val="20"/>
          <w:szCs w:val="20"/>
        </w:rPr>
        <w:t xml:space="preserve"> </w:t>
      </w:r>
      <w:proofErr w:type="spellStart"/>
      <w:r w:rsidRPr="00C4026F">
        <w:rPr>
          <w:rFonts w:ascii="Palatino Linotype" w:hAnsi="Palatino Linotype" w:cs="Times New Roman"/>
          <w:sz w:val="20"/>
          <w:szCs w:val="20"/>
        </w:rPr>
        <w:t>students</w:t>
      </w:r>
      <w:proofErr w:type="spellEnd"/>
      <w:r w:rsidRPr="00C4026F">
        <w:rPr>
          <w:rFonts w:ascii="Palatino Linotype" w:hAnsi="Palatino Linotype" w:cs="Times New Roman"/>
          <w:sz w:val="20"/>
          <w:szCs w:val="20"/>
        </w:rPr>
        <w:t xml:space="preserve">. </w:t>
      </w:r>
      <w:r w:rsidRPr="00C4026F">
        <w:rPr>
          <w:rFonts w:ascii="Palatino Linotype" w:hAnsi="Palatino Linotype" w:cs="Times New Roman"/>
          <w:i/>
          <w:sz w:val="20"/>
          <w:szCs w:val="20"/>
        </w:rPr>
        <w:t xml:space="preserve">International </w:t>
      </w:r>
      <w:proofErr w:type="spellStart"/>
      <w:r w:rsidRPr="00C4026F">
        <w:rPr>
          <w:rFonts w:ascii="Palatino Linotype" w:hAnsi="Palatino Linotype" w:cs="Times New Roman"/>
          <w:i/>
          <w:sz w:val="20"/>
          <w:szCs w:val="20"/>
        </w:rPr>
        <w:t>Journal</w:t>
      </w:r>
      <w:proofErr w:type="spellEnd"/>
      <w:r w:rsidRPr="00C4026F">
        <w:rPr>
          <w:rFonts w:ascii="Palatino Linotype" w:hAnsi="Palatino Linotype" w:cs="Times New Roman"/>
          <w:i/>
          <w:sz w:val="20"/>
          <w:szCs w:val="20"/>
        </w:rPr>
        <w:t xml:space="preserve"> of </w:t>
      </w:r>
      <w:proofErr w:type="spellStart"/>
      <w:r w:rsidRPr="00C4026F">
        <w:rPr>
          <w:rFonts w:ascii="Palatino Linotype" w:hAnsi="Palatino Linotype" w:cs="Times New Roman"/>
          <w:i/>
          <w:sz w:val="20"/>
          <w:szCs w:val="20"/>
        </w:rPr>
        <w:t>Social</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Science</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and</w:t>
      </w:r>
      <w:proofErr w:type="spellEnd"/>
      <w:r w:rsidRPr="00C4026F">
        <w:rPr>
          <w:rFonts w:ascii="Palatino Linotype" w:hAnsi="Palatino Linotype" w:cs="Times New Roman"/>
          <w:i/>
          <w:sz w:val="20"/>
          <w:szCs w:val="20"/>
        </w:rPr>
        <w:t xml:space="preserve"> </w:t>
      </w:r>
      <w:proofErr w:type="spellStart"/>
      <w:r w:rsidRPr="00C4026F">
        <w:rPr>
          <w:rFonts w:ascii="Palatino Linotype" w:hAnsi="Palatino Linotype" w:cs="Times New Roman"/>
          <w:i/>
          <w:sz w:val="20"/>
          <w:szCs w:val="20"/>
        </w:rPr>
        <w:t>Humanity</w:t>
      </w:r>
      <w:proofErr w:type="spellEnd"/>
      <w:r w:rsidRPr="007137B3">
        <w:rPr>
          <w:rFonts w:ascii="Palatino Linotype" w:hAnsi="Palatino Linotype" w:cs="Times New Roman"/>
          <w:i/>
          <w:sz w:val="20"/>
          <w:szCs w:val="20"/>
        </w:rPr>
        <w:t>, 3</w:t>
      </w:r>
      <w:r w:rsidRPr="00C4026F">
        <w:rPr>
          <w:rFonts w:ascii="Palatino Linotype" w:hAnsi="Palatino Linotype" w:cs="Times New Roman"/>
          <w:sz w:val="20"/>
          <w:szCs w:val="20"/>
        </w:rPr>
        <w:t xml:space="preserve">(2), 134-138. </w:t>
      </w:r>
    </w:p>
    <w:sectPr w:rsidR="00FF02D4" w:rsidRPr="00C4026F" w:rsidSect="008C65FD">
      <w:headerReference w:type="even" r:id="rId14"/>
      <w:headerReference w:type="default" r:id="rId15"/>
      <w:footerReference w:type="default" r:id="rId16"/>
      <w:headerReference w:type="first" r:id="rId17"/>
      <w:footerReference w:type="first" r:id="rId18"/>
      <w:pgSz w:w="11906" w:h="16838" w:code="9"/>
      <w:pgMar w:top="1417" w:right="1417" w:bottom="1417" w:left="1417" w:header="709" w:footer="709" w:gutter="0"/>
      <w:pgNumType w:start="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C4E" w:rsidRDefault="00E83C4E" w:rsidP="00FC38D0">
      <w:pPr>
        <w:spacing w:after="0" w:line="240" w:lineRule="auto"/>
      </w:pPr>
      <w:r>
        <w:separator/>
      </w:r>
    </w:p>
  </w:endnote>
  <w:endnote w:type="continuationSeparator" w:id="0">
    <w:p w:rsidR="00E83C4E" w:rsidRDefault="00E83C4E" w:rsidP="00FC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Italic">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szCs w:val="20"/>
      </w:rPr>
      <w:id w:val="1150792382"/>
      <w:docPartObj>
        <w:docPartGallery w:val="Page Numbers (Bottom of Page)"/>
        <w:docPartUnique/>
      </w:docPartObj>
    </w:sdtPr>
    <w:sdtEndPr/>
    <w:sdtContent>
      <w:p w:rsidR="00302BB9" w:rsidRPr="005059AD" w:rsidRDefault="00302BB9" w:rsidP="005059AD">
        <w:pPr>
          <w:pStyle w:val="Altbilgi"/>
          <w:jc w:val="center"/>
          <w:rPr>
            <w:rFonts w:ascii="Palatino Linotype" w:hAnsi="Palatino Linotype"/>
            <w:sz w:val="20"/>
            <w:szCs w:val="20"/>
          </w:rPr>
        </w:pPr>
        <w:r w:rsidRPr="005059AD">
          <w:rPr>
            <w:rFonts w:ascii="Palatino Linotype" w:hAnsi="Palatino Linotype"/>
            <w:sz w:val="20"/>
            <w:szCs w:val="20"/>
          </w:rPr>
          <w:fldChar w:fldCharType="begin"/>
        </w:r>
        <w:r w:rsidRPr="005059AD">
          <w:rPr>
            <w:rFonts w:ascii="Palatino Linotype" w:hAnsi="Palatino Linotype"/>
            <w:sz w:val="20"/>
            <w:szCs w:val="20"/>
          </w:rPr>
          <w:instrText>PAGE   \* MERGEFORMAT</w:instrText>
        </w:r>
        <w:r w:rsidRPr="005059AD">
          <w:rPr>
            <w:rFonts w:ascii="Palatino Linotype" w:hAnsi="Palatino Linotype"/>
            <w:sz w:val="20"/>
            <w:szCs w:val="20"/>
          </w:rPr>
          <w:fldChar w:fldCharType="separate"/>
        </w:r>
        <w:r w:rsidR="00D10C65">
          <w:rPr>
            <w:rFonts w:ascii="Palatino Linotype" w:hAnsi="Palatino Linotype"/>
            <w:noProof/>
            <w:sz w:val="20"/>
            <w:szCs w:val="20"/>
          </w:rPr>
          <w:t>68</w:t>
        </w:r>
        <w:r w:rsidRPr="005059AD">
          <w:rPr>
            <w:rFonts w:ascii="Palatino Linotype" w:hAnsi="Palatino Linotype"/>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rPr>
      <w:id w:val="94364261"/>
      <w:docPartObj>
        <w:docPartGallery w:val="Page Numbers (Bottom of Page)"/>
        <w:docPartUnique/>
      </w:docPartObj>
    </w:sdtPr>
    <w:sdtEndPr/>
    <w:sdtContent>
      <w:p w:rsidR="00302BB9" w:rsidRPr="00E00274" w:rsidRDefault="00302BB9" w:rsidP="00E00274">
        <w:pPr>
          <w:pStyle w:val="Altbilgi"/>
          <w:jc w:val="center"/>
          <w:rPr>
            <w:rFonts w:ascii="Palatino Linotype" w:hAnsi="Palatino Linotype"/>
            <w:sz w:val="20"/>
          </w:rPr>
        </w:pPr>
        <w:r w:rsidRPr="00E00274">
          <w:rPr>
            <w:rFonts w:ascii="Palatino Linotype" w:hAnsi="Palatino Linotype"/>
            <w:sz w:val="20"/>
          </w:rPr>
          <w:fldChar w:fldCharType="begin"/>
        </w:r>
        <w:r w:rsidRPr="00E00274">
          <w:rPr>
            <w:rFonts w:ascii="Palatino Linotype" w:hAnsi="Palatino Linotype"/>
            <w:sz w:val="20"/>
          </w:rPr>
          <w:instrText>PAGE   \* MERGEFORMAT</w:instrText>
        </w:r>
        <w:r w:rsidRPr="00E00274">
          <w:rPr>
            <w:rFonts w:ascii="Palatino Linotype" w:hAnsi="Palatino Linotype"/>
            <w:sz w:val="20"/>
          </w:rPr>
          <w:fldChar w:fldCharType="separate"/>
        </w:r>
        <w:r w:rsidR="00D10C65">
          <w:rPr>
            <w:rFonts w:ascii="Palatino Linotype" w:hAnsi="Palatino Linotype"/>
            <w:noProof/>
            <w:sz w:val="20"/>
          </w:rPr>
          <w:t>51</w:t>
        </w:r>
        <w:r w:rsidRPr="00E00274">
          <w:rPr>
            <w:rFonts w:ascii="Palatino Linotype" w:hAnsi="Palatino Linotyp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C4E" w:rsidRPr="00EA5D5E" w:rsidRDefault="00E83C4E" w:rsidP="00356B00">
      <w:pPr>
        <w:pStyle w:val="TedmemStil"/>
        <w:rPr>
          <w:sz w:val="10"/>
        </w:rPr>
      </w:pPr>
      <w:r w:rsidRPr="00EA5D5E">
        <w:rPr>
          <w:sz w:val="10"/>
        </w:rPr>
        <w:separator/>
      </w:r>
    </w:p>
  </w:footnote>
  <w:footnote w:type="continuationSeparator" w:id="0">
    <w:p w:rsidR="00E83C4E" w:rsidRDefault="00E83C4E" w:rsidP="00630B87">
      <w:pPr>
        <w:pStyle w:val="TedmemStil"/>
      </w:pPr>
      <w:r>
        <w:continuationSeparator/>
      </w:r>
    </w:p>
  </w:footnote>
  <w:footnote w:type="continuationNotice" w:id="1">
    <w:p w:rsidR="00E83C4E" w:rsidRDefault="00E83C4E">
      <w:pPr>
        <w:spacing w:after="0" w:line="240" w:lineRule="auto"/>
      </w:pPr>
    </w:p>
  </w:footnote>
  <w:footnote w:id="2">
    <w:p w:rsidR="00302BB9" w:rsidRPr="00C4026F" w:rsidRDefault="00302BB9">
      <w:pPr>
        <w:pStyle w:val="DipnotMetni"/>
        <w:rPr>
          <w:rFonts w:ascii="Palatino Linotype" w:hAnsi="Palatino Linotype"/>
          <w:sz w:val="16"/>
          <w:szCs w:val="16"/>
        </w:rPr>
      </w:pPr>
      <w:r w:rsidRPr="00C4026F">
        <w:rPr>
          <w:rStyle w:val="DipnotBavurusu"/>
          <w:rFonts w:ascii="Palatino Linotype" w:hAnsi="Palatino Linotype"/>
          <w:sz w:val="16"/>
          <w:szCs w:val="16"/>
        </w:rPr>
        <w:footnoteRef/>
      </w:r>
      <w:r w:rsidRPr="00C4026F">
        <w:rPr>
          <w:rFonts w:ascii="Palatino Linotype" w:hAnsi="Palatino Linotype"/>
          <w:sz w:val="16"/>
          <w:szCs w:val="16"/>
        </w:rPr>
        <w:t xml:space="preserve"> Dicle Üniversitesi, Ziya Gökalp Eğitim Fakültesi, </w:t>
      </w:r>
      <w:r w:rsidR="00D551D8">
        <w:rPr>
          <w:rFonts w:ascii="Palatino Linotype" w:hAnsi="Palatino Linotype"/>
          <w:sz w:val="16"/>
          <w:szCs w:val="16"/>
        </w:rPr>
        <w:t>İlköğretim Bölümü,</w:t>
      </w:r>
      <w:r w:rsidR="00D551D8">
        <w:rPr>
          <w:rFonts w:ascii="Palatino Linotype" w:hAnsi="Palatino Linotype"/>
          <w:sz w:val="16"/>
          <w:szCs w:val="16"/>
        </w:rPr>
        <w:t xml:space="preserve"> </w:t>
      </w:r>
      <w:r w:rsidRPr="00C4026F">
        <w:rPr>
          <w:rFonts w:ascii="Palatino Linotype" w:hAnsi="Palatino Linotype"/>
          <w:sz w:val="16"/>
          <w:szCs w:val="16"/>
        </w:rPr>
        <w:t xml:space="preserve">Türkiye, </w:t>
      </w:r>
      <w:hyperlink r:id="rId1" w:history="1">
        <w:r w:rsidRPr="00C4026F">
          <w:rPr>
            <w:rStyle w:val="Kpr"/>
            <w:rFonts w:ascii="Palatino Linotype" w:hAnsi="Palatino Linotype"/>
            <w:sz w:val="16"/>
            <w:szCs w:val="16"/>
            <w:u w:val="none"/>
          </w:rPr>
          <w:t>mustafailhan21@gmail.com</w:t>
        </w:r>
      </w:hyperlink>
      <w:r w:rsidRPr="00C4026F">
        <w:rPr>
          <w:rFonts w:ascii="Palatino Linotype" w:hAnsi="Palatino Linotype"/>
          <w:sz w:val="16"/>
          <w:szCs w:val="16"/>
        </w:rPr>
        <w:t xml:space="preserve"> </w:t>
      </w:r>
    </w:p>
  </w:footnote>
  <w:footnote w:id="3">
    <w:p w:rsidR="00302BB9" w:rsidRPr="00802D15" w:rsidRDefault="00302BB9">
      <w:pPr>
        <w:pStyle w:val="DipnotMetni"/>
        <w:rPr>
          <w:rFonts w:ascii="Palatino Linotype" w:hAnsi="Palatino Linotype"/>
          <w:sz w:val="16"/>
          <w:szCs w:val="16"/>
        </w:rPr>
      </w:pPr>
      <w:r w:rsidRPr="00C4026F">
        <w:rPr>
          <w:rStyle w:val="DipnotBavurusu"/>
          <w:rFonts w:ascii="Palatino Linotype" w:hAnsi="Palatino Linotype"/>
          <w:sz w:val="16"/>
          <w:szCs w:val="16"/>
        </w:rPr>
        <w:footnoteRef/>
      </w:r>
      <w:r w:rsidRPr="00C4026F">
        <w:rPr>
          <w:rFonts w:ascii="Palatino Linotype" w:hAnsi="Palatino Linotype"/>
          <w:sz w:val="16"/>
          <w:szCs w:val="16"/>
        </w:rPr>
        <w:t xml:space="preserve"> Gaziantep Üniversitesi, Gaziantep Eğitim Fakültesi, </w:t>
      </w:r>
      <w:r w:rsidR="00D14004" w:rsidRPr="002B2090">
        <w:rPr>
          <w:rFonts w:ascii="Palatino Linotype" w:hAnsi="Palatino Linotype"/>
          <w:sz w:val="16"/>
          <w:szCs w:val="16"/>
        </w:rPr>
        <w:t>Eğitim Bilimleri Bölümü</w:t>
      </w:r>
      <w:r w:rsidR="00D14004">
        <w:rPr>
          <w:rFonts w:ascii="Palatino Linotype" w:hAnsi="Palatino Linotype"/>
          <w:sz w:val="16"/>
          <w:szCs w:val="16"/>
        </w:rPr>
        <w:t>,</w:t>
      </w:r>
      <w:r w:rsidR="00D14004" w:rsidRPr="00A02372">
        <w:rPr>
          <w:rFonts w:ascii="Palatino Linotype" w:hAnsi="Palatino Linotype"/>
          <w:sz w:val="16"/>
          <w:szCs w:val="16"/>
        </w:rPr>
        <w:t xml:space="preserve"> </w:t>
      </w:r>
      <w:r w:rsidRPr="00C4026F">
        <w:rPr>
          <w:rFonts w:ascii="Palatino Linotype" w:hAnsi="Palatino Linotype"/>
          <w:sz w:val="16"/>
          <w:szCs w:val="16"/>
        </w:rPr>
        <w:t xml:space="preserve">Türkiye, </w:t>
      </w:r>
      <w:hyperlink r:id="rId2" w:history="1">
        <w:r w:rsidRPr="00C4026F">
          <w:rPr>
            <w:rStyle w:val="Kpr"/>
            <w:rFonts w:ascii="Palatino Linotype" w:hAnsi="Palatino Linotype"/>
            <w:sz w:val="16"/>
            <w:szCs w:val="16"/>
            <w:u w:val="none"/>
          </w:rPr>
          <w:t>bcetin27@gmail.com</w:t>
        </w:r>
      </w:hyperlink>
      <w:hyperlink r:id="rId3" w:history="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801"/>
    </w:tblGrid>
    <w:tr w:rsidR="00302BB9" w:rsidRPr="00490A57" w:rsidTr="00AB4361">
      <w:tc>
        <w:tcPr>
          <w:tcW w:w="3261" w:type="dxa"/>
          <w:vAlign w:val="center"/>
        </w:tcPr>
        <w:p w:rsidR="00302BB9" w:rsidRPr="002D7843" w:rsidRDefault="00302BB9" w:rsidP="002D7843">
          <w:pPr>
            <w:pStyle w:val="stbilgi"/>
            <w:rPr>
              <w:rFonts w:ascii="Palatino Linotype" w:hAnsi="Palatino Linotype"/>
              <w:sz w:val="16"/>
              <w:szCs w:val="16"/>
            </w:rPr>
          </w:pPr>
          <w:r w:rsidRPr="002D7843">
            <w:rPr>
              <w:rFonts w:ascii="Palatino Linotype" w:hAnsi="Palatino Linotype"/>
              <w:sz w:val="16"/>
              <w:szCs w:val="16"/>
            </w:rPr>
            <w:t>Eğitim ve Bilim Cilt 39 (2014) Sayı 173 13-25</w:t>
          </w:r>
        </w:p>
      </w:tc>
      <w:tc>
        <w:tcPr>
          <w:tcW w:w="5801" w:type="dxa"/>
          <w:vAlign w:val="center"/>
        </w:tcPr>
        <w:p w:rsidR="00302BB9" w:rsidRPr="002D7843" w:rsidRDefault="00302BB9" w:rsidP="002D7843">
          <w:pPr>
            <w:pStyle w:val="stbilgi"/>
            <w:jc w:val="right"/>
            <w:rPr>
              <w:rFonts w:ascii="Palatino Linotype" w:hAnsi="Palatino Linotype"/>
              <w:sz w:val="16"/>
              <w:szCs w:val="16"/>
            </w:rPr>
          </w:pPr>
          <w:proofErr w:type="spellStart"/>
          <w:r w:rsidRPr="002D7843">
            <w:rPr>
              <w:rFonts w:ascii="Palatino Linotype" w:hAnsi="Palatino Linotype"/>
              <w:sz w:val="16"/>
              <w:szCs w:val="16"/>
            </w:rPr>
            <w:t>Z.Selçuk</w:t>
          </w:r>
          <w:proofErr w:type="spellEnd"/>
          <w:r w:rsidRPr="002D7843">
            <w:rPr>
              <w:rFonts w:ascii="Palatino Linotype" w:hAnsi="Palatino Linotype"/>
              <w:sz w:val="16"/>
              <w:szCs w:val="16"/>
            </w:rPr>
            <w:t>, M. Palancı, M. Kandemir ve H. Dündar</w:t>
          </w:r>
        </w:p>
      </w:tc>
    </w:tr>
  </w:tbl>
  <w:p w:rsidR="00302BB9" w:rsidRDefault="00302BB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single" w:sz="6" w:space="0" w:color="F79727"/>
        <w:right w:val="none" w:sz="0" w:space="0" w:color="auto"/>
        <w:insideH w:val="none" w:sz="0" w:space="0" w:color="auto"/>
        <w:insideV w:val="none" w:sz="0" w:space="0" w:color="auto"/>
      </w:tblBorders>
      <w:tblCellMar>
        <w:left w:w="0" w:type="dxa"/>
        <w:bottom w:w="51" w:type="dxa"/>
        <w:right w:w="0" w:type="dxa"/>
      </w:tblCellMar>
      <w:tblLook w:val="04A0" w:firstRow="1" w:lastRow="0" w:firstColumn="1" w:lastColumn="0" w:noHBand="0" w:noVBand="1"/>
    </w:tblPr>
    <w:tblGrid>
      <w:gridCol w:w="3261"/>
      <w:gridCol w:w="5801"/>
    </w:tblGrid>
    <w:tr w:rsidR="00302BB9" w:rsidRPr="00490A57" w:rsidTr="005C02DC">
      <w:tc>
        <w:tcPr>
          <w:tcW w:w="3261" w:type="dxa"/>
          <w:vAlign w:val="center"/>
        </w:tcPr>
        <w:p w:rsidR="00302BB9" w:rsidRPr="002D7843" w:rsidRDefault="00302BB9" w:rsidP="00F23496">
          <w:pPr>
            <w:pStyle w:val="stbilgi"/>
            <w:rPr>
              <w:rFonts w:ascii="Palatino Linotype" w:hAnsi="Palatino Linotype"/>
              <w:sz w:val="16"/>
              <w:szCs w:val="16"/>
            </w:rPr>
          </w:pPr>
          <w:r w:rsidRPr="002D7843">
            <w:rPr>
              <w:rFonts w:ascii="Palatino Linotype" w:hAnsi="Palatino Linotype"/>
              <w:sz w:val="16"/>
              <w:szCs w:val="16"/>
            </w:rPr>
            <w:t>Eğitim ve Bil</w:t>
          </w:r>
          <w:r>
            <w:rPr>
              <w:rFonts w:ascii="Palatino Linotype" w:hAnsi="Palatino Linotype"/>
              <w:sz w:val="16"/>
              <w:szCs w:val="16"/>
            </w:rPr>
            <w:t xml:space="preserve">im 2014, Cilt </w:t>
          </w:r>
          <w:r w:rsidR="00596CE8">
            <w:rPr>
              <w:rFonts w:ascii="Palatino Linotype" w:hAnsi="Palatino Linotype"/>
              <w:sz w:val="16"/>
              <w:szCs w:val="16"/>
            </w:rPr>
            <w:t>39</w:t>
          </w:r>
          <w:r>
            <w:rPr>
              <w:rFonts w:ascii="Palatino Linotype" w:hAnsi="Palatino Linotype"/>
              <w:sz w:val="16"/>
              <w:szCs w:val="16"/>
            </w:rPr>
            <w:t xml:space="preserve">, Sayı </w:t>
          </w:r>
          <w:r w:rsidR="00596CE8">
            <w:rPr>
              <w:rFonts w:ascii="Palatino Linotype" w:hAnsi="Palatino Linotype"/>
              <w:sz w:val="16"/>
              <w:szCs w:val="16"/>
            </w:rPr>
            <w:t>176</w:t>
          </w:r>
          <w:r w:rsidR="00F23496">
            <w:rPr>
              <w:rFonts w:ascii="Palatino Linotype" w:hAnsi="Palatino Linotype"/>
              <w:sz w:val="16"/>
              <w:szCs w:val="16"/>
            </w:rPr>
            <w:t>, 51-68</w:t>
          </w:r>
        </w:p>
      </w:tc>
      <w:tc>
        <w:tcPr>
          <w:tcW w:w="5801" w:type="dxa"/>
          <w:vAlign w:val="center"/>
        </w:tcPr>
        <w:p w:rsidR="00302BB9" w:rsidRPr="002D7843" w:rsidRDefault="00D44EFC" w:rsidP="009E449B">
          <w:pPr>
            <w:pStyle w:val="stbilgi"/>
            <w:jc w:val="right"/>
            <w:rPr>
              <w:rFonts w:ascii="Palatino Linotype" w:hAnsi="Palatino Linotype"/>
              <w:sz w:val="16"/>
              <w:szCs w:val="16"/>
            </w:rPr>
          </w:pPr>
          <w:r>
            <w:rPr>
              <w:rFonts w:ascii="Palatino Linotype" w:hAnsi="Palatino Linotype"/>
              <w:sz w:val="16"/>
              <w:szCs w:val="16"/>
            </w:rPr>
            <w:t>M. İlhan ve</w:t>
          </w:r>
          <w:r w:rsidR="00302BB9">
            <w:rPr>
              <w:rFonts w:ascii="Palatino Linotype" w:hAnsi="Palatino Linotype"/>
              <w:sz w:val="16"/>
              <w:szCs w:val="16"/>
            </w:rPr>
            <w:t xml:space="preserve"> B. Çetin</w:t>
          </w:r>
        </w:p>
      </w:tc>
    </w:tr>
  </w:tbl>
  <w:p w:rsidR="00302BB9" w:rsidRPr="00490A57" w:rsidRDefault="00302BB9" w:rsidP="00BA0A33">
    <w:pPr>
      <w:pStyle w:val="stbilgi"/>
      <w:rPr>
        <w:rFonts w:ascii="Palatino Linotype" w:hAnsi="Palatino Linotype"/>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BB9" w:rsidRDefault="00302BB9">
    <w:pPr>
      <w:pStyle w:val="stbilgi"/>
    </w:pPr>
  </w:p>
  <w:tbl>
    <w:tblPr>
      <w:tblStyle w:val="TabloKlavuzu"/>
      <w:tblW w:w="0" w:type="auto"/>
      <w:tblBorders>
        <w:top w:val="single" w:sz="12" w:space="0" w:color="F79727"/>
        <w:left w:val="none" w:sz="0" w:space="0" w:color="auto"/>
        <w:bottom w:val="single" w:sz="12" w:space="0" w:color="F79727"/>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1470"/>
      <w:gridCol w:w="4422"/>
      <w:gridCol w:w="3180"/>
    </w:tblGrid>
    <w:tr w:rsidR="00302BB9" w:rsidTr="004935F1">
      <w:trPr>
        <w:trHeight w:val="917"/>
      </w:trPr>
      <w:tc>
        <w:tcPr>
          <w:tcW w:w="1470" w:type="dxa"/>
          <w:vMerge w:val="restart"/>
          <w:tcBorders>
            <w:top w:val="single" w:sz="6" w:space="0" w:color="F79727"/>
          </w:tcBorders>
          <w:vAlign w:val="center"/>
        </w:tcPr>
        <w:p w:rsidR="00302BB9" w:rsidRDefault="00302BB9" w:rsidP="004935F1">
          <w:pPr>
            <w:pStyle w:val="stbilgi"/>
          </w:pPr>
          <w:r>
            <w:rPr>
              <w:i/>
              <w:noProof/>
              <w:lang w:eastAsia="tr-TR"/>
            </w:rPr>
            <w:drawing>
              <wp:inline distT="0" distB="0" distL="0" distR="0" wp14:anchorId="253E52D7" wp14:editId="62FCDBB8">
                <wp:extent cx="923925" cy="923925"/>
                <wp:effectExtent l="0" t="0" r="9525" b="9525"/>
                <wp:docPr id="31" name="Resim 31" descr="C:\Users\HüseyinFırat\AppData\Local\Microsoft\Windows\INetCache\Content.Word\te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HüseyinFırat\AppData\Local\Microsoft\Windows\INetCache\Content.Word\te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4422" w:type="dxa"/>
          <w:tcBorders>
            <w:top w:val="single" w:sz="6" w:space="0" w:color="F79727"/>
            <w:bottom w:val="nil"/>
          </w:tcBorders>
          <w:vAlign w:val="center"/>
        </w:tcPr>
        <w:p w:rsidR="00302BB9" w:rsidRPr="00EE2F13" w:rsidRDefault="00302BB9" w:rsidP="006634C2">
          <w:pPr>
            <w:pStyle w:val="stbilgi"/>
            <w:jc w:val="center"/>
            <w:rPr>
              <w:rFonts w:ascii="Palatino Linotype" w:hAnsi="Palatino Linotype"/>
              <w:sz w:val="48"/>
              <w:szCs w:val="48"/>
            </w:rPr>
          </w:pPr>
          <w:r w:rsidRPr="00EE2F13">
            <w:rPr>
              <w:rFonts w:ascii="Palatino Linotype" w:hAnsi="Palatino Linotype"/>
              <w:sz w:val="48"/>
              <w:szCs w:val="48"/>
            </w:rPr>
            <w:t>Eğitim ve Bilim</w:t>
          </w:r>
        </w:p>
      </w:tc>
      <w:tc>
        <w:tcPr>
          <w:tcW w:w="3180" w:type="dxa"/>
          <w:vMerge w:val="restart"/>
          <w:tcBorders>
            <w:top w:val="single" w:sz="6" w:space="0" w:color="F79727"/>
          </w:tcBorders>
          <w:vAlign w:val="center"/>
        </w:tcPr>
        <w:p w:rsidR="00302BB9" w:rsidRPr="00602F65" w:rsidRDefault="00302BB9" w:rsidP="006634C2">
          <w:pPr>
            <w:pStyle w:val="stbilgi"/>
            <w:jc w:val="right"/>
            <w:rPr>
              <w:i/>
            </w:rPr>
          </w:pPr>
          <w:r>
            <w:rPr>
              <w:noProof/>
              <w:lang w:eastAsia="tr-TR"/>
            </w:rPr>
            <w:drawing>
              <wp:inline distT="0" distB="0" distL="0" distR="0" wp14:anchorId="198604FA" wp14:editId="4579AA36">
                <wp:extent cx="2013045" cy="416721"/>
                <wp:effectExtent l="0" t="0" r="6350" b="254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dmemLogo.png"/>
                        <pic:cNvPicPr/>
                      </pic:nvPicPr>
                      <pic:blipFill>
                        <a:blip r:embed="rId2">
                          <a:extLst>
                            <a:ext uri="{28A0092B-C50C-407E-A947-70E740481C1C}">
                              <a14:useLocalDpi xmlns:a14="http://schemas.microsoft.com/office/drawing/2010/main" val="0"/>
                            </a:ext>
                          </a:extLst>
                        </a:blip>
                        <a:stretch>
                          <a:fillRect/>
                        </a:stretch>
                      </pic:blipFill>
                      <pic:spPr>
                        <a:xfrm>
                          <a:off x="0" y="0"/>
                          <a:ext cx="2153174" cy="445729"/>
                        </a:xfrm>
                        <a:prstGeom prst="rect">
                          <a:avLst/>
                        </a:prstGeom>
                      </pic:spPr>
                    </pic:pic>
                  </a:graphicData>
                </a:graphic>
              </wp:inline>
            </w:drawing>
          </w:r>
        </w:p>
      </w:tc>
    </w:tr>
    <w:tr w:rsidR="00302BB9" w:rsidTr="004935F1">
      <w:trPr>
        <w:trHeight w:val="397"/>
      </w:trPr>
      <w:tc>
        <w:tcPr>
          <w:tcW w:w="1470" w:type="dxa"/>
          <w:vMerge/>
          <w:tcBorders>
            <w:bottom w:val="single" w:sz="6" w:space="0" w:color="F79727"/>
          </w:tcBorders>
          <w:vAlign w:val="center"/>
        </w:tcPr>
        <w:p w:rsidR="00302BB9" w:rsidRPr="00602F65" w:rsidRDefault="00302BB9" w:rsidP="006634C2">
          <w:pPr>
            <w:pStyle w:val="stbilgi"/>
            <w:rPr>
              <w:i/>
              <w:noProof/>
              <w:lang w:eastAsia="tr-TR"/>
            </w:rPr>
          </w:pPr>
        </w:p>
      </w:tc>
      <w:tc>
        <w:tcPr>
          <w:tcW w:w="4422" w:type="dxa"/>
          <w:tcBorders>
            <w:top w:val="nil"/>
            <w:bottom w:val="single" w:sz="6" w:space="0" w:color="F79727"/>
          </w:tcBorders>
        </w:tcPr>
        <w:p w:rsidR="00302BB9" w:rsidRPr="00072084" w:rsidRDefault="00302BB9" w:rsidP="00F23496">
          <w:pPr>
            <w:pStyle w:val="stbilgi"/>
            <w:jc w:val="center"/>
            <w:rPr>
              <w:rFonts w:ascii="Palatino Linotype" w:hAnsi="Palatino Linotype"/>
              <w:sz w:val="20"/>
              <w:szCs w:val="20"/>
            </w:rPr>
          </w:pPr>
          <w:r>
            <w:rPr>
              <w:rFonts w:ascii="Palatino Linotype" w:hAnsi="Palatino Linotype"/>
              <w:sz w:val="20"/>
              <w:szCs w:val="20"/>
            </w:rPr>
            <w:t xml:space="preserve">Cilt </w:t>
          </w:r>
          <w:r w:rsidR="00596CE8">
            <w:rPr>
              <w:rFonts w:ascii="Palatino Linotype" w:hAnsi="Palatino Linotype"/>
              <w:sz w:val="20"/>
              <w:szCs w:val="20"/>
            </w:rPr>
            <w:t>39</w:t>
          </w:r>
          <w:r>
            <w:rPr>
              <w:rFonts w:ascii="Palatino Linotype" w:hAnsi="Palatino Linotype"/>
              <w:sz w:val="20"/>
              <w:szCs w:val="20"/>
            </w:rPr>
            <w:t xml:space="preserve"> (2014) Sayı </w:t>
          </w:r>
          <w:r w:rsidR="00596CE8">
            <w:rPr>
              <w:rFonts w:ascii="Palatino Linotype" w:hAnsi="Palatino Linotype"/>
              <w:sz w:val="20"/>
              <w:szCs w:val="20"/>
            </w:rPr>
            <w:t>176</w:t>
          </w:r>
          <w:r w:rsidR="00F23496">
            <w:rPr>
              <w:rFonts w:ascii="Palatino Linotype" w:hAnsi="Palatino Linotype"/>
              <w:sz w:val="20"/>
              <w:szCs w:val="20"/>
            </w:rPr>
            <w:t xml:space="preserve"> 51</w:t>
          </w:r>
          <w:r>
            <w:rPr>
              <w:rFonts w:ascii="Palatino Linotype" w:hAnsi="Palatino Linotype"/>
              <w:sz w:val="20"/>
              <w:szCs w:val="20"/>
            </w:rPr>
            <w:t>-</w:t>
          </w:r>
          <w:r w:rsidR="00F23496">
            <w:rPr>
              <w:rFonts w:ascii="Palatino Linotype" w:hAnsi="Palatino Linotype"/>
              <w:sz w:val="20"/>
              <w:szCs w:val="20"/>
            </w:rPr>
            <w:t>68</w:t>
          </w:r>
        </w:p>
      </w:tc>
      <w:tc>
        <w:tcPr>
          <w:tcW w:w="3180" w:type="dxa"/>
          <w:vMerge/>
          <w:tcBorders>
            <w:bottom w:val="single" w:sz="6" w:space="0" w:color="F79727"/>
          </w:tcBorders>
          <w:vAlign w:val="center"/>
        </w:tcPr>
        <w:p w:rsidR="00302BB9" w:rsidRDefault="00302BB9" w:rsidP="006634C2">
          <w:pPr>
            <w:pStyle w:val="stbilgi"/>
            <w:jc w:val="right"/>
            <w:rPr>
              <w:i/>
              <w:noProof/>
              <w:lang w:eastAsia="tr-TR"/>
            </w:rPr>
          </w:pPr>
        </w:p>
      </w:tc>
    </w:tr>
  </w:tbl>
  <w:p w:rsidR="00302BB9" w:rsidRDefault="00302BB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831C48"/>
    <w:multiLevelType w:val="hybridMultilevel"/>
    <w:tmpl w:val="9B0A660A"/>
    <w:lvl w:ilvl="0" w:tplc="14E6157C">
      <w:numFmt w:val="bullet"/>
      <w:lvlText w:val="-"/>
      <w:lvlJc w:val="left"/>
      <w:pPr>
        <w:ind w:left="720" w:hanging="360"/>
      </w:pPr>
      <w:rPr>
        <w:rFonts w:ascii="Palatino Linotype" w:eastAsiaTheme="minorHAnsi" w:hAnsi="Palatino Linotype"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E5"/>
    <w:rsid w:val="0000150B"/>
    <w:rsid w:val="00010A56"/>
    <w:rsid w:val="000362C0"/>
    <w:rsid w:val="00036DBA"/>
    <w:rsid w:val="00056085"/>
    <w:rsid w:val="000626EC"/>
    <w:rsid w:val="00066C16"/>
    <w:rsid w:val="00067694"/>
    <w:rsid w:val="00070A27"/>
    <w:rsid w:val="00072084"/>
    <w:rsid w:val="0008338F"/>
    <w:rsid w:val="00091A52"/>
    <w:rsid w:val="000960C8"/>
    <w:rsid w:val="00097D34"/>
    <w:rsid w:val="000A14F7"/>
    <w:rsid w:val="000A1AB5"/>
    <w:rsid w:val="000B259F"/>
    <w:rsid w:val="000B5CB1"/>
    <w:rsid w:val="000C4D6F"/>
    <w:rsid w:val="00101AC7"/>
    <w:rsid w:val="00103EA9"/>
    <w:rsid w:val="00122923"/>
    <w:rsid w:val="00147E7C"/>
    <w:rsid w:val="001555BA"/>
    <w:rsid w:val="00157699"/>
    <w:rsid w:val="00160E62"/>
    <w:rsid w:val="001804B8"/>
    <w:rsid w:val="001811A2"/>
    <w:rsid w:val="00182B58"/>
    <w:rsid w:val="00191E87"/>
    <w:rsid w:val="001A0E6F"/>
    <w:rsid w:val="001A1D29"/>
    <w:rsid w:val="001A2728"/>
    <w:rsid w:val="001B764B"/>
    <w:rsid w:val="001C403E"/>
    <w:rsid w:val="001D7FE7"/>
    <w:rsid w:val="001F67D3"/>
    <w:rsid w:val="001F725F"/>
    <w:rsid w:val="00204DF7"/>
    <w:rsid w:val="00212ABF"/>
    <w:rsid w:val="00221F10"/>
    <w:rsid w:val="0023477F"/>
    <w:rsid w:val="002448BA"/>
    <w:rsid w:val="002857A0"/>
    <w:rsid w:val="002900CD"/>
    <w:rsid w:val="002A0F11"/>
    <w:rsid w:val="002A44AF"/>
    <w:rsid w:val="002A6AA2"/>
    <w:rsid w:val="002C51B5"/>
    <w:rsid w:val="002D2BDD"/>
    <w:rsid w:val="002D7843"/>
    <w:rsid w:val="002D7C56"/>
    <w:rsid w:val="002E4037"/>
    <w:rsid w:val="002F0551"/>
    <w:rsid w:val="002F0D17"/>
    <w:rsid w:val="002F2E68"/>
    <w:rsid w:val="002F767E"/>
    <w:rsid w:val="00302BB9"/>
    <w:rsid w:val="00306B76"/>
    <w:rsid w:val="00317C90"/>
    <w:rsid w:val="0033562C"/>
    <w:rsid w:val="00351487"/>
    <w:rsid w:val="00351B2F"/>
    <w:rsid w:val="00356B00"/>
    <w:rsid w:val="00360152"/>
    <w:rsid w:val="00362F50"/>
    <w:rsid w:val="003668B9"/>
    <w:rsid w:val="00373D69"/>
    <w:rsid w:val="003810A5"/>
    <w:rsid w:val="00382759"/>
    <w:rsid w:val="00385BC0"/>
    <w:rsid w:val="003870C1"/>
    <w:rsid w:val="00394010"/>
    <w:rsid w:val="00394922"/>
    <w:rsid w:val="003A3A7C"/>
    <w:rsid w:val="003B2006"/>
    <w:rsid w:val="003B428A"/>
    <w:rsid w:val="003B617B"/>
    <w:rsid w:val="003C3381"/>
    <w:rsid w:val="003E69D2"/>
    <w:rsid w:val="003F0A69"/>
    <w:rsid w:val="00416F5A"/>
    <w:rsid w:val="00421F19"/>
    <w:rsid w:val="0043254B"/>
    <w:rsid w:val="004332A3"/>
    <w:rsid w:val="004333D2"/>
    <w:rsid w:val="00437AB8"/>
    <w:rsid w:val="004448EF"/>
    <w:rsid w:val="004618AC"/>
    <w:rsid w:val="00475DC1"/>
    <w:rsid w:val="0048375C"/>
    <w:rsid w:val="00490A57"/>
    <w:rsid w:val="004935F1"/>
    <w:rsid w:val="004A58B6"/>
    <w:rsid w:val="004B330C"/>
    <w:rsid w:val="004C76A5"/>
    <w:rsid w:val="004D7B6F"/>
    <w:rsid w:val="004E170E"/>
    <w:rsid w:val="004E69F4"/>
    <w:rsid w:val="004F22A9"/>
    <w:rsid w:val="004F26CB"/>
    <w:rsid w:val="004F74EE"/>
    <w:rsid w:val="005059AD"/>
    <w:rsid w:val="00510B2F"/>
    <w:rsid w:val="00510D5B"/>
    <w:rsid w:val="005137D6"/>
    <w:rsid w:val="005330C2"/>
    <w:rsid w:val="005558C8"/>
    <w:rsid w:val="0058173E"/>
    <w:rsid w:val="00593121"/>
    <w:rsid w:val="00596CE8"/>
    <w:rsid w:val="005B765C"/>
    <w:rsid w:val="005C02DC"/>
    <w:rsid w:val="005E0AAB"/>
    <w:rsid w:val="005E0E8D"/>
    <w:rsid w:val="005E6912"/>
    <w:rsid w:val="005E73B0"/>
    <w:rsid w:val="005F4242"/>
    <w:rsid w:val="00601B78"/>
    <w:rsid w:val="00602F65"/>
    <w:rsid w:val="00603B98"/>
    <w:rsid w:val="00605B98"/>
    <w:rsid w:val="00616950"/>
    <w:rsid w:val="00625C67"/>
    <w:rsid w:val="00630B87"/>
    <w:rsid w:val="0063599A"/>
    <w:rsid w:val="00635F20"/>
    <w:rsid w:val="006379BA"/>
    <w:rsid w:val="00651071"/>
    <w:rsid w:val="00655E47"/>
    <w:rsid w:val="006561F1"/>
    <w:rsid w:val="006634C2"/>
    <w:rsid w:val="006712FF"/>
    <w:rsid w:val="00673906"/>
    <w:rsid w:val="0067502A"/>
    <w:rsid w:val="00682CD2"/>
    <w:rsid w:val="00694FDD"/>
    <w:rsid w:val="006A2163"/>
    <w:rsid w:val="006A62C1"/>
    <w:rsid w:val="006C2D2C"/>
    <w:rsid w:val="006C4A14"/>
    <w:rsid w:val="006C5CB1"/>
    <w:rsid w:val="006C6711"/>
    <w:rsid w:val="006D0F03"/>
    <w:rsid w:val="006D1C4A"/>
    <w:rsid w:val="006D6669"/>
    <w:rsid w:val="006E0EFD"/>
    <w:rsid w:val="006E2F36"/>
    <w:rsid w:val="00705F25"/>
    <w:rsid w:val="007117B2"/>
    <w:rsid w:val="007127E1"/>
    <w:rsid w:val="007137B3"/>
    <w:rsid w:val="00727A68"/>
    <w:rsid w:val="007357EE"/>
    <w:rsid w:val="00740BEA"/>
    <w:rsid w:val="00742A8D"/>
    <w:rsid w:val="00762D74"/>
    <w:rsid w:val="00776D53"/>
    <w:rsid w:val="0078226A"/>
    <w:rsid w:val="007A4E0D"/>
    <w:rsid w:val="007A5F9F"/>
    <w:rsid w:val="007C1206"/>
    <w:rsid w:val="007C296D"/>
    <w:rsid w:val="007C2E98"/>
    <w:rsid w:val="007C4542"/>
    <w:rsid w:val="007C75E5"/>
    <w:rsid w:val="007D2DD1"/>
    <w:rsid w:val="007D7829"/>
    <w:rsid w:val="007E00DC"/>
    <w:rsid w:val="007F430C"/>
    <w:rsid w:val="007F6A6E"/>
    <w:rsid w:val="007F6FAB"/>
    <w:rsid w:val="00802D15"/>
    <w:rsid w:val="00806CDF"/>
    <w:rsid w:val="00807555"/>
    <w:rsid w:val="00812392"/>
    <w:rsid w:val="00821395"/>
    <w:rsid w:val="0082158B"/>
    <w:rsid w:val="0082276D"/>
    <w:rsid w:val="00822D21"/>
    <w:rsid w:val="0083015F"/>
    <w:rsid w:val="008331ED"/>
    <w:rsid w:val="00850F06"/>
    <w:rsid w:val="00853B3D"/>
    <w:rsid w:val="00855574"/>
    <w:rsid w:val="008575F6"/>
    <w:rsid w:val="008670C1"/>
    <w:rsid w:val="00870348"/>
    <w:rsid w:val="008833FF"/>
    <w:rsid w:val="008C5327"/>
    <w:rsid w:val="008C65FD"/>
    <w:rsid w:val="008E04E0"/>
    <w:rsid w:val="008E554C"/>
    <w:rsid w:val="008E7099"/>
    <w:rsid w:val="008E711E"/>
    <w:rsid w:val="0090618A"/>
    <w:rsid w:val="009141A4"/>
    <w:rsid w:val="0091733A"/>
    <w:rsid w:val="00926E37"/>
    <w:rsid w:val="00931D5D"/>
    <w:rsid w:val="00932E07"/>
    <w:rsid w:val="009474C6"/>
    <w:rsid w:val="00950721"/>
    <w:rsid w:val="009543B1"/>
    <w:rsid w:val="0095711D"/>
    <w:rsid w:val="00975174"/>
    <w:rsid w:val="00977C49"/>
    <w:rsid w:val="00985613"/>
    <w:rsid w:val="00985F9A"/>
    <w:rsid w:val="009C3798"/>
    <w:rsid w:val="009E0E23"/>
    <w:rsid w:val="009E449B"/>
    <w:rsid w:val="009F09A5"/>
    <w:rsid w:val="00A0228E"/>
    <w:rsid w:val="00A0735D"/>
    <w:rsid w:val="00A21E7D"/>
    <w:rsid w:val="00A22789"/>
    <w:rsid w:val="00A37E98"/>
    <w:rsid w:val="00A63231"/>
    <w:rsid w:val="00A85E65"/>
    <w:rsid w:val="00AA0D8E"/>
    <w:rsid w:val="00AB1BEC"/>
    <w:rsid w:val="00AB4361"/>
    <w:rsid w:val="00AB5D98"/>
    <w:rsid w:val="00AC759C"/>
    <w:rsid w:val="00AD6CEE"/>
    <w:rsid w:val="00AD7C00"/>
    <w:rsid w:val="00AE0C79"/>
    <w:rsid w:val="00B00582"/>
    <w:rsid w:val="00B02B8F"/>
    <w:rsid w:val="00B171A8"/>
    <w:rsid w:val="00B430BB"/>
    <w:rsid w:val="00B4682D"/>
    <w:rsid w:val="00B55D17"/>
    <w:rsid w:val="00B60F9E"/>
    <w:rsid w:val="00B67E49"/>
    <w:rsid w:val="00B91F3A"/>
    <w:rsid w:val="00BA0A33"/>
    <w:rsid w:val="00BB5DF8"/>
    <w:rsid w:val="00BB66B2"/>
    <w:rsid w:val="00BC3866"/>
    <w:rsid w:val="00BC5095"/>
    <w:rsid w:val="00BD08DD"/>
    <w:rsid w:val="00BE1DBE"/>
    <w:rsid w:val="00BE48C5"/>
    <w:rsid w:val="00BF3801"/>
    <w:rsid w:val="00BF5829"/>
    <w:rsid w:val="00C01BFF"/>
    <w:rsid w:val="00C0323B"/>
    <w:rsid w:val="00C10D5B"/>
    <w:rsid w:val="00C11072"/>
    <w:rsid w:val="00C15026"/>
    <w:rsid w:val="00C158D6"/>
    <w:rsid w:val="00C212B3"/>
    <w:rsid w:val="00C22853"/>
    <w:rsid w:val="00C24F39"/>
    <w:rsid w:val="00C31091"/>
    <w:rsid w:val="00C4026F"/>
    <w:rsid w:val="00C43EA7"/>
    <w:rsid w:val="00C54561"/>
    <w:rsid w:val="00C575C3"/>
    <w:rsid w:val="00C642BD"/>
    <w:rsid w:val="00C67331"/>
    <w:rsid w:val="00C75611"/>
    <w:rsid w:val="00C767FF"/>
    <w:rsid w:val="00C82F51"/>
    <w:rsid w:val="00C86CE9"/>
    <w:rsid w:val="00C9032C"/>
    <w:rsid w:val="00CB66BB"/>
    <w:rsid w:val="00CB764B"/>
    <w:rsid w:val="00CD3E8D"/>
    <w:rsid w:val="00CE4D61"/>
    <w:rsid w:val="00CE767C"/>
    <w:rsid w:val="00CF2D8B"/>
    <w:rsid w:val="00CF33EE"/>
    <w:rsid w:val="00CF4796"/>
    <w:rsid w:val="00CF4953"/>
    <w:rsid w:val="00CF5DE3"/>
    <w:rsid w:val="00CF6809"/>
    <w:rsid w:val="00D10863"/>
    <w:rsid w:val="00D10C65"/>
    <w:rsid w:val="00D14004"/>
    <w:rsid w:val="00D15D4A"/>
    <w:rsid w:val="00D21DC4"/>
    <w:rsid w:val="00D22D6C"/>
    <w:rsid w:val="00D327C7"/>
    <w:rsid w:val="00D4190D"/>
    <w:rsid w:val="00D44EFC"/>
    <w:rsid w:val="00D471AB"/>
    <w:rsid w:val="00D4794D"/>
    <w:rsid w:val="00D51E3E"/>
    <w:rsid w:val="00D521DD"/>
    <w:rsid w:val="00D541DF"/>
    <w:rsid w:val="00D551D8"/>
    <w:rsid w:val="00D6389B"/>
    <w:rsid w:val="00D97E7A"/>
    <w:rsid w:val="00DB0644"/>
    <w:rsid w:val="00DB397C"/>
    <w:rsid w:val="00DB3A88"/>
    <w:rsid w:val="00DC5366"/>
    <w:rsid w:val="00DE5C4C"/>
    <w:rsid w:val="00DF2E4F"/>
    <w:rsid w:val="00E00274"/>
    <w:rsid w:val="00E00EBF"/>
    <w:rsid w:val="00E26CE7"/>
    <w:rsid w:val="00E26FFE"/>
    <w:rsid w:val="00E342EC"/>
    <w:rsid w:val="00E359F5"/>
    <w:rsid w:val="00E47366"/>
    <w:rsid w:val="00E47785"/>
    <w:rsid w:val="00E63F66"/>
    <w:rsid w:val="00E67D59"/>
    <w:rsid w:val="00E723FE"/>
    <w:rsid w:val="00E83C4E"/>
    <w:rsid w:val="00E92AE5"/>
    <w:rsid w:val="00EA2BCF"/>
    <w:rsid w:val="00EA5D5E"/>
    <w:rsid w:val="00EB3379"/>
    <w:rsid w:val="00EB5724"/>
    <w:rsid w:val="00EC3528"/>
    <w:rsid w:val="00EC5440"/>
    <w:rsid w:val="00ED05CF"/>
    <w:rsid w:val="00ED5D2D"/>
    <w:rsid w:val="00EE1137"/>
    <w:rsid w:val="00EE1A22"/>
    <w:rsid w:val="00EE2F13"/>
    <w:rsid w:val="00EF4A33"/>
    <w:rsid w:val="00EF4E92"/>
    <w:rsid w:val="00EF5794"/>
    <w:rsid w:val="00F04225"/>
    <w:rsid w:val="00F063D9"/>
    <w:rsid w:val="00F21619"/>
    <w:rsid w:val="00F217CA"/>
    <w:rsid w:val="00F23496"/>
    <w:rsid w:val="00F2708F"/>
    <w:rsid w:val="00F405D5"/>
    <w:rsid w:val="00F54D8B"/>
    <w:rsid w:val="00F627D1"/>
    <w:rsid w:val="00F6385F"/>
    <w:rsid w:val="00F71F57"/>
    <w:rsid w:val="00F730D0"/>
    <w:rsid w:val="00F84A29"/>
    <w:rsid w:val="00F8684A"/>
    <w:rsid w:val="00F906C1"/>
    <w:rsid w:val="00F918A2"/>
    <w:rsid w:val="00FB1B9E"/>
    <w:rsid w:val="00FB450B"/>
    <w:rsid w:val="00FB4EAB"/>
    <w:rsid w:val="00FC1B6F"/>
    <w:rsid w:val="00FC31CA"/>
    <w:rsid w:val="00FC38D0"/>
    <w:rsid w:val="00FC3B6A"/>
    <w:rsid w:val="00FD70A5"/>
    <w:rsid w:val="00FE0A9D"/>
    <w:rsid w:val="00FF02D4"/>
    <w:rsid w:val="00FF2B64"/>
    <w:rsid w:val="00FF7F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83F195-9C95-40A4-9AC8-96DD7609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575C3"/>
    <w:pPr>
      <w:keepNext/>
      <w:keepLines/>
      <w:spacing w:before="240" w:after="0"/>
      <w:outlineLvl w:val="0"/>
    </w:pPr>
    <w:rPr>
      <w:rFonts w:asciiTheme="majorHAnsi" w:eastAsiaTheme="majorEastAsia" w:hAnsiTheme="majorHAnsi" w:cstheme="majorBidi"/>
      <w:color w:val="2E74B5" w:themeColor="accent1" w:themeShade="BF"/>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C38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38D0"/>
  </w:style>
  <w:style w:type="paragraph" w:styleId="Altbilgi">
    <w:name w:val="footer"/>
    <w:basedOn w:val="Normal"/>
    <w:link w:val="AltbilgiChar"/>
    <w:uiPriority w:val="99"/>
    <w:unhideWhenUsed/>
    <w:rsid w:val="00FC38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38D0"/>
  </w:style>
  <w:style w:type="table" w:styleId="TabloKlavuzu">
    <w:name w:val="Table Grid"/>
    <w:basedOn w:val="NormalTablo"/>
    <w:uiPriority w:val="59"/>
    <w:rsid w:val="00FC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802D1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02D15"/>
    <w:rPr>
      <w:sz w:val="20"/>
      <w:szCs w:val="20"/>
    </w:rPr>
  </w:style>
  <w:style w:type="character" w:styleId="DipnotBavurusu">
    <w:name w:val="footnote reference"/>
    <w:basedOn w:val="VarsaylanParagrafYazTipi"/>
    <w:uiPriority w:val="99"/>
    <w:semiHidden/>
    <w:unhideWhenUsed/>
    <w:rsid w:val="00802D15"/>
    <w:rPr>
      <w:vertAlign w:val="superscript"/>
    </w:rPr>
  </w:style>
  <w:style w:type="character" w:styleId="Kpr">
    <w:name w:val="Hyperlink"/>
    <w:basedOn w:val="VarsaylanParagrafYazTipi"/>
    <w:uiPriority w:val="99"/>
    <w:unhideWhenUsed/>
    <w:rsid w:val="003B617B"/>
    <w:rPr>
      <w:color w:val="0563C1" w:themeColor="hyperlink"/>
      <w:u w:val="single"/>
    </w:rPr>
  </w:style>
  <w:style w:type="paragraph" w:customStyle="1" w:styleId="TedmemStil">
    <w:name w:val="Tedmem Stil"/>
    <w:basedOn w:val="Normal"/>
    <w:link w:val="TedmemStilChar"/>
    <w:qFormat/>
    <w:rsid w:val="00356B00"/>
    <w:pPr>
      <w:spacing w:after="0" w:line="240" w:lineRule="auto"/>
    </w:pPr>
    <w:rPr>
      <w:color w:val="F79727"/>
    </w:rPr>
  </w:style>
  <w:style w:type="character" w:customStyle="1" w:styleId="TedmemStilChar">
    <w:name w:val="Tedmem Stil Char"/>
    <w:basedOn w:val="VarsaylanParagrafYazTipi"/>
    <w:link w:val="TedmemStil"/>
    <w:rsid w:val="00356B00"/>
    <w:rPr>
      <w:color w:val="F79727"/>
    </w:rPr>
  </w:style>
  <w:style w:type="character" w:styleId="AklamaBavurusu">
    <w:name w:val="annotation reference"/>
    <w:basedOn w:val="VarsaylanParagrafYazTipi"/>
    <w:uiPriority w:val="99"/>
    <w:semiHidden/>
    <w:unhideWhenUsed/>
    <w:rsid w:val="002A0F11"/>
    <w:rPr>
      <w:sz w:val="16"/>
      <w:szCs w:val="16"/>
    </w:rPr>
  </w:style>
  <w:style w:type="paragraph" w:styleId="AklamaMetni">
    <w:name w:val="annotation text"/>
    <w:basedOn w:val="Normal"/>
    <w:link w:val="AklamaMetniChar"/>
    <w:uiPriority w:val="99"/>
    <w:semiHidden/>
    <w:unhideWhenUsed/>
    <w:rsid w:val="002A0F1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A0F11"/>
    <w:rPr>
      <w:sz w:val="20"/>
      <w:szCs w:val="20"/>
    </w:rPr>
  </w:style>
  <w:style w:type="paragraph" w:styleId="AklamaKonusu">
    <w:name w:val="annotation subject"/>
    <w:basedOn w:val="AklamaMetni"/>
    <w:next w:val="AklamaMetni"/>
    <w:link w:val="AklamaKonusuChar"/>
    <w:uiPriority w:val="99"/>
    <w:semiHidden/>
    <w:unhideWhenUsed/>
    <w:rsid w:val="002A0F11"/>
    <w:rPr>
      <w:b/>
      <w:bCs/>
    </w:rPr>
  </w:style>
  <w:style w:type="character" w:customStyle="1" w:styleId="AklamaKonusuChar">
    <w:name w:val="Açıklama Konusu Char"/>
    <w:basedOn w:val="AklamaMetniChar"/>
    <w:link w:val="AklamaKonusu"/>
    <w:uiPriority w:val="99"/>
    <w:semiHidden/>
    <w:rsid w:val="002A0F11"/>
    <w:rPr>
      <w:b/>
      <w:bCs/>
      <w:sz w:val="20"/>
      <w:szCs w:val="20"/>
    </w:rPr>
  </w:style>
  <w:style w:type="paragraph" w:styleId="BalonMetni">
    <w:name w:val="Balloon Text"/>
    <w:basedOn w:val="Normal"/>
    <w:link w:val="BalonMetniChar"/>
    <w:uiPriority w:val="99"/>
    <w:semiHidden/>
    <w:unhideWhenUsed/>
    <w:rsid w:val="002A0F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0F11"/>
    <w:rPr>
      <w:rFonts w:ascii="Segoe UI" w:hAnsi="Segoe UI" w:cs="Segoe UI"/>
      <w:sz w:val="18"/>
      <w:szCs w:val="18"/>
    </w:rPr>
  </w:style>
  <w:style w:type="paragraph" w:customStyle="1" w:styleId="Default">
    <w:name w:val="Default"/>
    <w:uiPriority w:val="99"/>
    <w:rsid w:val="009543B1"/>
    <w:pPr>
      <w:autoSpaceDE w:val="0"/>
      <w:autoSpaceDN w:val="0"/>
      <w:adjustRightInd w:val="0"/>
      <w:spacing w:after="0" w:line="240" w:lineRule="auto"/>
    </w:pPr>
    <w:rPr>
      <w:rFonts w:ascii="Minion Pro" w:hAnsi="Minion Pro" w:cs="Minion Pro"/>
      <w:color w:val="000000"/>
      <w:sz w:val="24"/>
      <w:szCs w:val="24"/>
    </w:rPr>
  </w:style>
  <w:style w:type="paragraph" w:styleId="NormalWeb">
    <w:name w:val="Normal (Web)"/>
    <w:basedOn w:val="Normal"/>
    <w:uiPriority w:val="99"/>
    <w:semiHidden/>
    <w:unhideWhenUsed/>
    <w:rsid w:val="009543B1"/>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Standard">
    <w:name w:val="Standard"/>
    <w:uiPriority w:val="99"/>
    <w:rsid w:val="009543B1"/>
    <w:pPr>
      <w:suppressAutoHyphens/>
      <w:autoSpaceDN w:val="0"/>
      <w:spacing w:after="200" w:line="276" w:lineRule="auto"/>
    </w:pPr>
    <w:rPr>
      <w:rFonts w:ascii="Calibri" w:eastAsia="Times New Roman" w:hAnsi="Calibri" w:cs="Times New Roman"/>
      <w:kern w:val="3"/>
      <w:lang w:eastAsia="zh-CN"/>
    </w:rPr>
  </w:style>
  <w:style w:type="paragraph" w:styleId="ListeParagraf">
    <w:name w:val="List Paragraph"/>
    <w:basedOn w:val="Normal"/>
    <w:uiPriority w:val="34"/>
    <w:qFormat/>
    <w:rsid w:val="009E449B"/>
    <w:pPr>
      <w:spacing w:after="200" w:line="276" w:lineRule="auto"/>
      <w:ind w:left="720"/>
      <w:contextualSpacing/>
    </w:pPr>
  </w:style>
  <w:style w:type="character" w:customStyle="1" w:styleId="st">
    <w:name w:val="st"/>
    <w:rsid w:val="00302BB9"/>
    <w:rPr>
      <w:rFonts w:cs="Times New Roman"/>
    </w:rPr>
  </w:style>
  <w:style w:type="character" w:customStyle="1" w:styleId="Balk1Char">
    <w:name w:val="Başlık 1 Char"/>
    <w:basedOn w:val="VarsaylanParagrafYazTipi"/>
    <w:link w:val="Balk1"/>
    <w:uiPriority w:val="9"/>
    <w:rsid w:val="00C575C3"/>
    <w:rPr>
      <w:rFonts w:asciiTheme="majorHAnsi" w:eastAsiaTheme="majorEastAsia" w:hAnsiTheme="majorHAnsi" w:cstheme="majorBidi"/>
      <w:color w:val="2E74B5"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mpalanci@gmail.com" TargetMode="External"/><Relationship Id="rId2" Type="http://schemas.openxmlformats.org/officeDocument/2006/relationships/hyperlink" Target="mailto:bcetin27@gmail.com" TargetMode="External"/><Relationship Id="rId1" Type="http://schemas.openxmlformats.org/officeDocument/2006/relationships/hyperlink" Target="mailto:mustafailhan21@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USTAFA%20&#304;LHAN\Desktop\Yeni%20Microsoft%20Excel%20&#199;al&#305;&#351;ma%20Sayfas&#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36"/>
    </mc:Choice>
    <mc:Fallback>
      <c:style val="36"/>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solidFill>
          <a:schemeClr val="accent1">
            <a:lumMod val="20000"/>
            <a:lumOff val="80000"/>
          </a:schemeClr>
        </a:solidFill>
      </c:spPr>
    </c:floor>
    <c:sideWall>
      <c:thickness val="0"/>
      <c:spPr>
        <a:solidFill>
          <a:schemeClr val="bg1">
            <a:lumMod val="85000"/>
          </a:schemeClr>
        </a:solidFill>
      </c:spPr>
    </c:sideWall>
    <c:backWall>
      <c:thickness val="0"/>
      <c:spPr>
        <a:solidFill>
          <a:schemeClr val="bg1">
            <a:lumMod val="85000"/>
          </a:schemeClr>
        </a:solidFill>
      </c:spPr>
    </c:backWall>
    <c:plotArea>
      <c:layout>
        <c:manualLayout>
          <c:layoutTarget val="inner"/>
          <c:xMode val="edge"/>
          <c:yMode val="edge"/>
          <c:x val="7.0808423828538025E-2"/>
          <c:y val="3.2546771653543305E-2"/>
          <c:w val="0.9108163568006088"/>
          <c:h val="0.75451338582677163"/>
        </c:manualLayout>
      </c:layout>
      <c:bar3DChart>
        <c:barDir val="col"/>
        <c:grouping val="clustered"/>
        <c:varyColors val="0"/>
        <c:ser>
          <c:idx val="0"/>
          <c:order val="0"/>
          <c:invertIfNegative val="0"/>
          <c:dPt>
            <c:idx val="0"/>
            <c:invertIfNegative val="0"/>
            <c:bubble3D val="0"/>
            <c:spPr>
              <a:solidFill>
                <a:srgbClr val="A50021"/>
              </a:solidFill>
            </c:spPr>
          </c:dPt>
          <c:dPt>
            <c:idx val="1"/>
            <c:invertIfNegative val="0"/>
            <c:bubble3D val="0"/>
            <c:spPr>
              <a:solidFill>
                <a:srgbClr val="FFFF66"/>
              </a:solidFill>
            </c:spPr>
          </c:dPt>
          <c:dPt>
            <c:idx val="3"/>
            <c:invertIfNegative val="0"/>
            <c:bubble3D val="0"/>
            <c:spPr>
              <a:solidFill>
                <a:srgbClr val="A50021"/>
              </a:solidFill>
            </c:spPr>
          </c:dPt>
          <c:dPt>
            <c:idx val="4"/>
            <c:invertIfNegative val="0"/>
            <c:bubble3D val="0"/>
            <c:spPr>
              <a:solidFill>
                <a:srgbClr val="FFFF66"/>
              </a:solidFill>
            </c:spPr>
          </c:dPt>
          <c:dPt>
            <c:idx val="6"/>
            <c:invertIfNegative val="0"/>
            <c:bubble3D val="0"/>
            <c:spPr>
              <a:solidFill>
                <a:srgbClr val="A50021"/>
              </a:solidFill>
            </c:spPr>
          </c:dPt>
          <c:dPt>
            <c:idx val="7"/>
            <c:invertIfNegative val="0"/>
            <c:bubble3D val="0"/>
            <c:spPr>
              <a:solidFill>
                <a:srgbClr val="FFFF66"/>
              </a:solidFill>
            </c:spPr>
          </c:dPt>
          <c:dLbls>
            <c:dLbl>
              <c:idx val="0"/>
              <c:layout>
                <c:manualLayout>
                  <c:x val="0"/>
                  <c:y val="0.16203703703703703"/>
                </c:manualLayout>
              </c:layout>
              <c:spPr/>
              <c:txPr>
                <a:bodyPr/>
                <a:lstStyle/>
                <a:p>
                  <a:pPr>
                    <a:defRPr sz="800" b="1">
                      <a:solidFill>
                        <a:schemeClr val="bg1"/>
                      </a:solidFill>
                      <a:latin typeface="Palatino Linotype" pitchFamily="18" charset="0"/>
                    </a:defRPr>
                  </a:pPr>
                  <a:endParaRPr lang="tr-TR"/>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2.7777777777777779E-3"/>
                  <c:y val="0.4444444444444444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1872265966754156E-7"/>
                  <c:y val="0.42129629629629628"/>
                </c:manualLayout>
              </c:layout>
              <c:tx>
                <c:rich>
                  <a:bodyPr/>
                  <a:lstStyle/>
                  <a:p>
                    <a:pPr>
                      <a:defRPr sz="800" b="1">
                        <a:solidFill>
                          <a:schemeClr val="bg1"/>
                        </a:solidFill>
                        <a:latin typeface="Palatino Linotype" pitchFamily="18" charset="0"/>
                      </a:defRPr>
                    </a:pPr>
                    <a:r>
                      <a:rPr lang="en-US" sz="800" b="1">
                        <a:solidFill>
                          <a:schemeClr val="bg1"/>
                        </a:solidFill>
                        <a:latin typeface="Palatino Linotype" pitchFamily="18" charset="0"/>
                      </a:rPr>
                      <a:t>3,68</a:t>
                    </a:r>
                  </a:p>
                </c:rich>
              </c:tx>
              <c:spP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0.20833333333333334"/>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0185067526415994E-16"/>
                  <c:y val="0.29166666666666669"/>
                </c:manualLayout>
              </c:layout>
              <c:spPr/>
              <c:txPr>
                <a:bodyPr/>
                <a:lstStyle/>
                <a:p>
                  <a:pPr>
                    <a:defRPr sz="800" b="1">
                      <a:solidFill>
                        <a:schemeClr val="bg1"/>
                      </a:solidFill>
                      <a:latin typeface="Palatino Linotype" pitchFamily="18" charset="0"/>
                    </a:defRPr>
                  </a:pPr>
                  <a:endParaRPr lang="tr-TR"/>
                </a:p>
              </c:txPr>
              <c:showLegendKey val="0"/>
              <c:showVal val="1"/>
              <c:showCatName val="0"/>
              <c:showSerName val="0"/>
              <c:showPercent val="0"/>
              <c:showBubbleSize val="0"/>
              <c:extLst>
                <c:ext xmlns:c15="http://schemas.microsoft.com/office/drawing/2012/chart" uri="{CE6537A1-D6FC-4f65-9D91-7224C49458BB}"/>
              </c:extLst>
            </c:dLbl>
            <c:dLbl>
              <c:idx val="7"/>
              <c:layout>
                <c:manualLayout>
                  <c:x val="0"/>
                  <c:y val="0.3148148148148148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latin typeface="Palatino Linotype"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Sayfa1!$A$1:$B$8</c:f>
              <c:multiLvlStrCache>
                <c:ptCount val="8"/>
                <c:lvl>
                  <c:pt idx="0">
                    <c:v>ÖODA</c:v>
                  </c:pt>
                  <c:pt idx="1">
                    <c:v>PODA</c:v>
                  </c:pt>
                  <c:pt idx="3">
                    <c:v>ÖODA</c:v>
                  </c:pt>
                  <c:pt idx="4">
                    <c:v>PODA</c:v>
                  </c:pt>
                  <c:pt idx="6">
                    <c:v>ÖODA</c:v>
                  </c:pt>
                  <c:pt idx="7">
                    <c:v>PODA</c:v>
                  </c:pt>
                </c:lvl>
                <c:lvl>
                  <c:pt idx="0">
                    <c:v>1</c:v>
                  </c:pt>
                  <c:pt idx="3">
                    <c:v>2</c:v>
                  </c:pt>
                  <c:pt idx="6">
                    <c:v>3</c:v>
                  </c:pt>
                </c:lvl>
              </c:multiLvlStrCache>
            </c:multiLvlStrRef>
          </c:cat>
          <c:val>
            <c:numRef>
              <c:f>Sayfa1!$C$1:$C$8</c:f>
              <c:numCache>
                <c:formatCode>General</c:formatCode>
                <c:ptCount val="8"/>
                <c:pt idx="0">
                  <c:v>2.23</c:v>
                </c:pt>
                <c:pt idx="1">
                  <c:v>4</c:v>
                </c:pt>
                <c:pt idx="3">
                  <c:v>3.68</c:v>
                </c:pt>
                <c:pt idx="4">
                  <c:v>2.4500000000000002</c:v>
                </c:pt>
                <c:pt idx="6">
                  <c:v>2.98</c:v>
                </c:pt>
                <c:pt idx="7">
                  <c:v>3.11</c:v>
                </c:pt>
              </c:numCache>
            </c:numRef>
          </c:val>
        </c:ser>
        <c:dLbls>
          <c:showLegendKey val="0"/>
          <c:showVal val="1"/>
          <c:showCatName val="0"/>
          <c:showSerName val="0"/>
          <c:showPercent val="0"/>
          <c:showBubbleSize val="0"/>
        </c:dLbls>
        <c:gapWidth val="75"/>
        <c:shape val="box"/>
        <c:axId val="220122432"/>
        <c:axId val="220122824"/>
        <c:axId val="0"/>
      </c:bar3DChart>
      <c:catAx>
        <c:axId val="220122432"/>
        <c:scaling>
          <c:orientation val="minMax"/>
        </c:scaling>
        <c:delete val="0"/>
        <c:axPos val="b"/>
        <c:numFmt formatCode="General" sourceLinked="0"/>
        <c:majorTickMark val="none"/>
        <c:minorTickMark val="none"/>
        <c:tickLblPos val="nextTo"/>
        <c:txPr>
          <a:bodyPr/>
          <a:lstStyle/>
          <a:p>
            <a:pPr>
              <a:defRPr sz="800">
                <a:solidFill>
                  <a:sysClr val="windowText" lastClr="000000"/>
                </a:solidFill>
                <a:latin typeface="Palatino Linotype" pitchFamily="18" charset="0"/>
              </a:defRPr>
            </a:pPr>
            <a:endParaRPr lang="tr-TR"/>
          </a:p>
        </c:txPr>
        <c:crossAx val="220122824"/>
        <c:crosses val="autoZero"/>
        <c:auto val="1"/>
        <c:lblAlgn val="ctr"/>
        <c:lblOffset val="100"/>
        <c:noMultiLvlLbl val="0"/>
      </c:catAx>
      <c:valAx>
        <c:axId val="220122824"/>
        <c:scaling>
          <c:orientation val="minMax"/>
        </c:scaling>
        <c:delete val="0"/>
        <c:axPos val="l"/>
        <c:majorGridlines/>
        <c:numFmt formatCode="General" sourceLinked="1"/>
        <c:majorTickMark val="none"/>
        <c:minorTickMark val="none"/>
        <c:tickLblPos val="nextTo"/>
        <c:txPr>
          <a:bodyPr/>
          <a:lstStyle/>
          <a:p>
            <a:pPr>
              <a:defRPr sz="800">
                <a:solidFill>
                  <a:sysClr val="windowText" lastClr="000000"/>
                </a:solidFill>
                <a:latin typeface="Palatino Linotype" pitchFamily="18" charset="0"/>
              </a:defRPr>
            </a:pPr>
            <a:endParaRPr lang="tr-TR"/>
          </a:p>
        </c:txPr>
        <c:crossAx val="22012243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lineChart>
        <c:grouping val="standard"/>
        <c:varyColors val="0"/>
        <c:ser>
          <c:idx val="0"/>
          <c:order val="0"/>
          <c:tx>
            <c:strRef>
              <c:f>Sayfa1!$B$1</c:f>
              <c:strCache>
                <c:ptCount val="1"/>
                <c:pt idx="0">
                  <c:v>Duygusal Tükenme</c:v>
                </c:pt>
              </c:strCache>
            </c:strRef>
          </c:tx>
          <c:spPr>
            <a:ln w="25400">
              <a:prstDash val="sysDash"/>
            </a:ln>
          </c:spPr>
          <c:marker>
            <c:symbol val="diamond"/>
            <c:size val="6"/>
          </c:marker>
          <c:cat>
            <c:strRef>
              <c:f>Sayfa1!$A$2:$A$4</c:f>
              <c:strCache>
                <c:ptCount val="3"/>
                <c:pt idx="0">
                  <c:v>Küme 1</c:v>
                </c:pt>
                <c:pt idx="1">
                  <c:v>Küme 2</c:v>
                </c:pt>
                <c:pt idx="2">
                  <c:v>Küme 3</c:v>
                </c:pt>
              </c:strCache>
            </c:strRef>
          </c:cat>
          <c:val>
            <c:numRef>
              <c:f>Sayfa1!$B$2:$B$4</c:f>
              <c:numCache>
                <c:formatCode>General</c:formatCode>
                <c:ptCount val="3"/>
                <c:pt idx="0">
                  <c:v>3.99</c:v>
                </c:pt>
                <c:pt idx="1">
                  <c:v>2.89</c:v>
                </c:pt>
                <c:pt idx="2">
                  <c:v>3.36</c:v>
                </c:pt>
              </c:numCache>
            </c:numRef>
          </c:val>
          <c:smooth val="0"/>
        </c:ser>
        <c:ser>
          <c:idx val="1"/>
          <c:order val="1"/>
          <c:tx>
            <c:strRef>
              <c:f>Sayfa1!$C$1</c:f>
              <c:strCache>
                <c:ptCount val="1"/>
                <c:pt idx="0">
                  <c:v>Duyarsızlaşma</c:v>
                </c:pt>
              </c:strCache>
            </c:strRef>
          </c:tx>
          <c:spPr>
            <a:ln w="37465">
              <a:solidFill>
                <a:srgbClr val="990033"/>
              </a:solidFill>
              <a:prstDash val="sysDot"/>
            </a:ln>
          </c:spPr>
          <c:marker>
            <c:symbol val="square"/>
            <c:size val="5"/>
            <c:spPr>
              <a:solidFill>
                <a:srgbClr val="990033"/>
              </a:solidFill>
            </c:spPr>
          </c:marker>
          <c:dPt>
            <c:idx val="1"/>
            <c:bubble3D val="0"/>
            <c:spPr>
              <a:ln w="31750">
                <a:solidFill>
                  <a:srgbClr val="990033"/>
                </a:solidFill>
                <a:prstDash val="sysDot"/>
              </a:ln>
            </c:spPr>
          </c:dPt>
          <c:dPt>
            <c:idx val="2"/>
            <c:bubble3D val="0"/>
            <c:spPr>
              <a:ln w="31750">
                <a:solidFill>
                  <a:srgbClr val="990033"/>
                </a:solidFill>
                <a:prstDash val="sysDot"/>
              </a:ln>
            </c:spPr>
          </c:dPt>
          <c:cat>
            <c:strRef>
              <c:f>Sayfa1!$A$2:$A$4</c:f>
              <c:strCache>
                <c:ptCount val="3"/>
                <c:pt idx="0">
                  <c:v>Küme 1</c:v>
                </c:pt>
                <c:pt idx="1">
                  <c:v>Küme 2</c:v>
                </c:pt>
                <c:pt idx="2">
                  <c:v>Küme 3</c:v>
                </c:pt>
              </c:strCache>
            </c:strRef>
          </c:cat>
          <c:val>
            <c:numRef>
              <c:f>Sayfa1!$C$2:$C$4</c:f>
              <c:numCache>
                <c:formatCode>General</c:formatCode>
                <c:ptCount val="3"/>
                <c:pt idx="0">
                  <c:v>3.76</c:v>
                </c:pt>
                <c:pt idx="1">
                  <c:v>2.35</c:v>
                </c:pt>
                <c:pt idx="2">
                  <c:v>2.96</c:v>
                </c:pt>
              </c:numCache>
            </c:numRef>
          </c:val>
          <c:smooth val="0"/>
        </c:ser>
        <c:ser>
          <c:idx val="2"/>
          <c:order val="2"/>
          <c:tx>
            <c:strRef>
              <c:f>Sayfa1!$D$1</c:f>
              <c:strCache>
                <c:ptCount val="1"/>
                <c:pt idx="0">
                  <c:v>Yetkinlik</c:v>
                </c:pt>
              </c:strCache>
            </c:strRef>
          </c:tx>
          <c:spPr>
            <a:ln w="25400">
              <a:solidFill>
                <a:schemeClr val="accent6"/>
              </a:solidFill>
            </a:ln>
          </c:spPr>
          <c:marker>
            <c:symbol val="triangle"/>
            <c:size val="6"/>
            <c:spPr>
              <a:solidFill>
                <a:schemeClr val="accent6"/>
              </a:solidFill>
              <a:ln>
                <a:solidFill>
                  <a:schemeClr val="accent6"/>
                </a:solidFill>
              </a:ln>
            </c:spPr>
          </c:marker>
          <c:cat>
            <c:strRef>
              <c:f>Sayfa1!$A$2:$A$4</c:f>
              <c:strCache>
                <c:ptCount val="3"/>
                <c:pt idx="0">
                  <c:v>Küme 1</c:v>
                </c:pt>
                <c:pt idx="1">
                  <c:v>Küme 2</c:v>
                </c:pt>
                <c:pt idx="2">
                  <c:v>Küme 3</c:v>
                </c:pt>
              </c:strCache>
            </c:strRef>
          </c:cat>
          <c:val>
            <c:numRef>
              <c:f>Sayfa1!$D$2:$D$4</c:f>
              <c:numCache>
                <c:formatCode>General</c:formatCode>
                <c:ptCount val="3"/>
                <c:pt idx="0">
                  <c:v>3.15</c:v>
                </c:pt>
                <c:pt idx="1">
                  <c:v>3.75</c:v>
                </c:pt>
                <c:pt idx="2">
                  <c:v>3.41</c:v>
                </c:pt>
              </c:numCache>
            </c:numRef>
          </c:val>
          <c:smooth val="0"/>
        </c:ser>
        <c:dLbls>
          <c:showLegendKey val="0"/>
          <c:showVal val="0"/>
          <c:showCatName val="0"/>
          <c:showSerName val="0"/>
          <c:showPercent val="0"/>
          <c:showBubbleSize val="0"/>
        </c:dLbls>
        <c:marker val="1"/>
        <c:smooth val="0"/>
        <c:axId val="401716296"/>
        <c:axId val="401718648"/>
      </c:lineChart>
      <c:catAx>
        <c:axId val="401716296"/>
        <c:scaling>
          <c:orientation val="minMax"/>
        </c:scaling>
        <c:delete val="0"/>
        <c:axPos val="b"/>
        <c:numFmt formatCode="General" sourceLinked="0"/>
        <c:majorTickMark val="out"/>
        <c:minorTickMark val="none"/>
        <c:tickLblPos val="nextTo"/>
        <c:txPr>
          <a:bodyPr/>
          <a:lstStyle/>
          <a:p>
            <a:pPr>
              <a:defRPr sz="800">
                <a:latin typeface="Palatino Linotype" pitchFamily="18" charset="0"/>
              </a:defRPr>
            </a:pPr>
            <a:endParaRPr lang="tr-TR"/>
          </a:p>
        </c:txPr>
        <c:crossAx val="401718648"/>
        <c:crosses val="autoZero"/>
        <c:auto val="1"/>
        <c:lblAlgn val="ctr"/>
        <c:lblOffset val="100"/>
        <c:noMultiLvlLbl val="0"/>
      </c:catAx>
      <c:valAx>
        <c:axId val="401718648"/>
        <c:scaling>
          <c:orientation val="minMax"/>
        </c:scaling>
        <c:delete val="0"/>
        <c:axPos val="l"/>
        <c:majorGridlines/>
        <c:numFmt formatCode="General" sourceLinked="1"/>
        <c:majorTickMark val="out"/>
        <c:minorTickMark val="none"/>
        <c:tickLblPos val="nextTo"/>
        <c:txPr>
          <a:bodyPr/>
          <a:lstStyle/>
          <a:p>
            <a:pPr>
              <a:defRPr sz="800">
                <a:latin typeface="Palatino Linotype" pitchFamily="18" charset="0"/>
              </a:defRPr>
            </a:pPr>
            <a:endParaRPr lang="tr-TR"/>
          </a:p>
        </c:txPr>
        <c:crossAx val="401716296"/>
        <c:crosses val="autoZero"/>
        <c:crossBetween val="between"/>
      </c:valAx>
    </c:plotArea>
    <c:legend>
      <c:legendPos val="t"/>
      <c:layout>
        <c:manualLayout>
          <c:xMode val="edge"/>
          <c:yMode val="edge"/>
          <c:x val="6.6842656228665058E-3"/>
          <c:y val="4.8775084216835102E-2"/>
          <c:w val="0.99048503330147331"/>
          <c:h val="0.14907971149275631"/>
        </c:manualLayout>
      </c:layout>
      <c:overlay val="0"/>
      <c:txPr>
        <a:bodyPr/>
        <a:lstStyle/>
        <a:p>
          <a:pPr rtl="0">
            <a:defRPr sz="800">
              <a:latin typeface="Palatino Linotype" pitchFamily="18" charset="0"/>
            </a:defRPr>
          </a:pPr>
          <a:endParaRPr lang="tr-TR"/>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01785-2DB8-49FE-A03E-18C9EEFD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9611</Words>
  <Characters>54787</Characters>
  <Application>Microsoft Office Word</Application>
  <DocSecurity>0</DocSecurity>
  <Lines>456</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TED</Company>
  <LinksUpToDate>false</LinksUpToDate>
  <CharactersWithSpaces>64270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Körpeoğlu</dc:creator>
  <cp:lastModifiedBy>Yayın Kurulu</cp:lastModifiedBy>
  <cp:revision>17</cp:revision>
  <cp:lastPrinted>2014-12-16T09:10:00Z</cp:lastPrinted>
  <dcterms:created xsi:type="dcterms:W3CDTF">2014-12-15T17:28:00Z</dcterms:created>
  <dcterms:modified xsi:type="dcterms:W3CDTF">2014-12-17T10:28:00Z</dcterms:modified>
</cp:coreProperties>
</file>